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Pr>
          <w:rFonts w:eastAsia="方正小标宋简体"/>
          <w:sz w:val="32"/>
        </w:rPr>
      </w:pPr>
    </w:p>
    <w:p>
      <w:pPr>
        <w:autoSpaceDE w:val="0"/>
        <w:autoSpaceDN w:val="0"/>
        <w:snapToGrid w:val="0"/>
        <w:spacing w:line="800" w:lineRule="atLeast"/>
        <w:jc w:val="distribute"/>
        <w:rPr>
          <w:rFonts w:eastAsia="方正小标宋_GBK"/>
          <w:b/>
          <w:bCs/>
          <w:snapToGrid w:val="0"/>
          <w:color w:val="FF0000"/>
          <w:spacing w:val="-10"/>
          <w:w w:val="50"/>
          <w:kern w:val="0"/>
          <w:sz w:val="116"/>
          <w:szCs w:val="116"/>
        </w:rPr>
      </w:pPr>
      <w:r>
        <w:rPr>
          <w:rFonts w:eastAsia="方正小标宋_GBK"/>
          <w:b/>
          <w:bCs/>
          <w:snapToGrid w:val="0"/>
          <w:color w:val="FF0000"/>
          <w:spacing w:val="-10"/>
          <w:w w:val="50"/>
          <w:kern w:val="0"/>
          <w:sz w:val="116"/>
          <w:szCs w:val="116"/>
        </w:rPr>
        <w:t>南京市鼓楼区人民政府办公室文件</w:t>
      </w:r>
    </w:p>
    <w:p>
      <w:pPr>
        <w:tabs>
          <w:tab w:val="left" w:pos="8130"/>
        </w:tabs>
        <w:autoSpaceDE w:val="0"/>
        <w:autoSpaceDN w:val="0"/>
        <w:snapToGrid w:val="0"/>
        <w:spacing w:line="600" w:lineRule="atLeast"/>
        <w:ind w:firstLine="624"/>
        <w:jc w:val="left"/>
        <w:rPr>
          <w:rFonts w:eastAsia="方正小标宋简体"/>
          <w:b/>
          <w:bCs/>
          <w:snapToGrid w:val="0"/>
          <w:color w:val="FF0000"/>
          <w:spacing w:val="36"/>
          <w:kern w:val="0"/>
          <w:position w:val="10"/>
          <w:szCs w:val="32"/>
        </w:rPr>
      </w:pPr>
      <w:r>
        <w:rPr>
          <w:rFonts w:eastAsia="方正小标宋简体"/>
          <w:b/>
          <w:bCs/>
          <w:snapToGrid w:val="0"/>
          <w:color w:val="FF0000"/>
          <w:spacing w:val="36"/>
          <w:kern w:val="0"/>
          <w:position w:val="10"/>
          <w:szCs w:val="32"/>
        </w:rPr>
        <w:tab/>
      </w:r>
    </w:p>
    <w:p>
      <w:pPr>
        <w:tabs>
          <w:tab w:val="left" w:pos="8130"/>
        </w:tabs>
        <w:autoSpaceDE w:val="0"/>
        <w:autoSpaceDN w:val="0"/>
        <w:snapToGrid w:val="0"/>
        <w:spacing w:line="600" w:lineRule="atLeast"/>
        <w:ind w:firstLine="624"/>
        <w:jc w:val="left"/>
        <w:rPr>
          <w:rFonts w:eastAsia="方正小标宋简体"/>
          <w:b/>
          <w:bCs/>
          <w:snapToGrid w:val="0"/>
          <w:color w:val="FF0000"/>
          <w:spacing w:val="36"/>
          <w:kern w:val="0"/>
          <w:position w:val="10"/>
          <w:szCs w:val="32"/>
        </w:rPr>
      </w:pPr>
    </w:p>
    <w:p>
      <w:pPr>
        <w:autoSpaceDE w:val="0"/>
        <w:autoSpaceDN w:val="0"/>
        <w:snapToGrid w:val="0"/>
        <w:spacing w:line="560" w:lineRule="exact"/>
        <w:jc w:val="center"/>
        <w:rPr>
          <w:rFonts w:eastAsia="方正仿宋_GBK"/>
          <w:snapToGrid w:val="0"/>
          <w:kern w:val="0"/>
          <w:sz w:val="32"/>
          <w:szCs w:val="32"/>
        </w:rPr>
      </w:pPr>
      <w:r>
        <w:rPr>
          <w:rFonts w:eastAsia="方正仿宋_GBK"/>
          <w:snapToGrid w:val="0"/>
          <w:kern w:val="0"/>
          <w:sz w:val="32"/>
          <w:szCs w:val="32"/>
        </w:rPr>
        <w:t>鼓政办〔2020〕</w:t>
      </w:r>
      <w:r>
        <w:rPr>
          <w:rFonts w:hint="eastAsia" w:eastAsia="方正仿宋_GBK"/>
          <w:snapToGrid w:val="0"/>
          <w:kern w:val="0"/>
          <w:sz w:val="32"/>
          <w:szCs w:val="32"/>
          <w:lang w:val="en-US" w:eastAsia="zh-CN"/>
        </w:rPr>
        <w:t>54</w:t>
      </w:r>
      <w:r>
        <w:rPr>
          <w:rFonts w:eastAsia="方正仿宋_GBK"/>
          <w:snapToGrid w:val="0"/>
          <w:kern w:val="0"/>
          <w:sz w:val="32"/>
          <w:szCs w:val="32"/>
        </w:rPr>
        <w:t>号</w:t>
      </w:r>
    </w:p>
    <w:p>
      <w:pPr>
        <w:pBdr>
          <w:bottom w:val="single" w:color="FF0000" w:sz="12" w:space="1"/>
        </w:pBdr>
        <w:autoSpaceDE w:val="0"/>
        <w:autoSpaceDN w:val="0"/>
        <w:adjustRightInd w:val="0"/>
        <w:snapToGrid w:val="0"/>
        <w:spacing w:line="60" w:lineRule="atLeast"/>
        <w:ind w:firstLine="624"/>
        <w:jc w:val="center"/>
        <w:rPr>
          <w:rFonts w:eastAsia="方正小标宋简体"/>
          <w:snapToGrid w:val="0"/>
          <w:color w:val="000000"/>
          <w:kern w:val="0"/>
          <w:position w:val="10"/>
          <w:sz w:val="6"/>
          <w:szCs w:val="32"/>
        </w:rPr>
      </w:pPr>
    </w:p>
    <w:p>
      <w:pPr>
        <w:autoSpaceDE w:val="0"/>
        <w:autoSpaceDN w:val="0"/>
        <w:snapToGrid w:val="0"/>
        <w:spacing w:line="520" w:lineRule="exact"/>
        <w:ind w:firstLine="624"/>
        <w:rPr>
          <w:rFonts w:eastAsia="方正小标宋简体"/>
          <w:snapToGrid w:val="0"/>
          <w:kern w:val="0"/>
          <w:sz w:val="40"/>
          <w:szCs w:val="40"/>
        </w:rPr>
      </w:pPr>
    </w:p>
    <w:p>
      <w:pPr>
        <w:autoSpaceDE w:val="0"/>
        <w:autoSpaceDN w:val="0"/>
        <w:snapToGrid w:val="0"/>
        <w:spacing w:line="520" w:lineRule="exact"/>
        <w:ind w:firstLine="624"/>
        <w:rPr>
          <w:rFonts w:eastAsia="方正小标宋简体"/>
          <w:snapToGrid w:val="0"/>
          <w:kern w:val="0"/>
          <w:sz w:val="40"/>
          <w:szCs w:val="40"/>
        </w:rPr>
      </w:pPr>
    </w:p>
    <w:p>
      <w:pPr>
        <w:spacing w:line="560" w:lineRule="exact"/>
        <w:jc w:val="center"/>
        <w:rPr>
          <w:rFonts w:eastAsia="方正小标宋_GBK"/>
          <w:sz w:val="44"/>
          <w:szCs w:val="44"/>
        </w:rPr>
      </w:pPr>
      <w:r>
        <w:rPr>
          <w:rFonts w:hint="eastAsia" w:eastAsia="方正小标宋_GBK"/>
          <w:sz w:val="44"/>
          <w:szCs w:val="44"/>
        </w:rPr>
        <w:t>区政府办公室关于印发鼓楼区推进企业上市</w:t>
      </w:r>
    </w:p>
    <w:p>
      <w:pPr>
        <w:spacing w:line="560" w:lineRule="exact"/>
        <w:jc w:val="center"/>
        <w:rPr>
          <w:rFonts w:eastAsia="方正小标宋_GBK"/>
          <w:sz w:val="44"/>
          <w:szCs w:val="44"/>
        </w:rPr>
      </w:pPr>
      <w:r>
        <w:rPr>
          <w:rFonts w:hint="eastAsia" w:eastAsia="方正小标宋_GBK"/>
          <w:sz w:val="44"/>
          <w:szCs w:val="44"/>
        </w:rPr>
        <w:t>联席会议制度的通知</w:t>
      </w:r>
    </w:p>
    <w:p>
      <w:pPr>
        <w:spacing w:line="560" w:lineRule="exact"/>
        <w:jc w:val="center"/>
        <w:rPr>
          <w:rFonts w:eastAsia="方正小标宋_GBK"/>
          <w:sz w:val="44"/>
          <w:szCs w:val="44"/>
        </w:rPr>
      </w:pPr>
    </w:p>
    <w:p>
      <w:pPr>
        <w:spacing w:line="560" w:lineRule="exact"/>
        <w:jc w:val="left"/>
        <w:rPr>
          <w:rFonts w:eastAsia="方正仿宋_GBK"/>
          <w:sz w:val="32"/>
          <w:szCs w:val="32"/>
        </w:rPr>
      </w:pPr>
      <w:r>
        <w:rPr>
          <w:rFonts w:eastAsia="方正仿宋_GBK"/>
          <w:sz w:val="32"/>
          <w:szCs w:val="32"/>
        </w:rPr>
        <w:t>区政府各部门，各街道办事处，各直属单位：</w:t>
      </w:r>
    </w:p>
    <w:p>
      <w:pPr>
        <w:spacing w:line="560" w:lineRule="exact"/>
        <w:ind w:firstLine="640" w:firstLineChars="200"/>
        <w:jc w:val="left"/>
        <w:rPr>
          <w:rFonts w:eastAsia="方正仿宋_GBK"/>
          <w:sz w:val="32"/>
          <w:szCs w:val="32"/>
        </w:rPr>
      </w:pPr>
      <w:r>
        <w:rPr>
          <w:rFonts w:eastAsia="方正仿宋_GBK"/>
          <w:sz w:val="32"/>
          <w:szCs w:val="32"/>
        </w:rPr>
        <w:t>现将《</w:t>
      </w:r>
      <w:r>
        <w:rPr>
          <w:rFonts w:hint="eastAsia" w:eastAsia="方正仿宋_GBK"/>
          <w:bCs/>
          <w:sz w:val="32"/>
          <w:szCs w:val="32"/>
        </w:rPr>
        <w:t>鼓楼区推进企业上市联席会议制度</w:t>
      </w:r>
      <w:r>
        <w:rPr>
          <w:rFonts w:eastAsia="方正仿宋_GBK"/>
          <w:sz w:val="32"/>
          <w:szCs w:val="32"/>
        </w:rPr>
        <w:t>》印发给你们，请认真遵照执行。</w:t>
      </w:r>
    </w:p>
    <w:p>
      <w:pPr>
        <w:spacing w:line="560" w:lineRule="exact"/>
        <w:jc w:val="center"/>
      </w:pPr>
    </w:p>
    <w:p>
      <w:pPr>
        <w:spacing w:line="560" w:lineRule="exact"/>
        <w:rPr>
          <w:rFonts w:eastAsia="方正仿宋_GBK"/>
          <w:sz w:val="32"/>
          <w:szCs w:val="32"/>
        </w:rPr>
      </w:pPr>
    </w:p>
    <w:p>
      <w:pPr>
        <w:pStyle w:val="4"/>
        <w:snapToGrid w:val="0"/>
        <w:spacing w:before="0" w:beforeAutospacing="0" w:after="0" w:afterAutospacing="0" w:line="560" w:lineRule="exact"/>
        <w:ind w:firstLine="5120" w:firstLineChars="1600"/>
        <w:jc w:val="both"/>
        <w:rPr>
          <w:rFonts w:eastAsia="方正仿宋_GBK"/>
          <w:color w:val="000000"/>
          <w:sz w:val="32"/>
          <w:szCs w:val="32"/>
        </w:rPr>
      </w:pPr>
      <w:r>
        <w:rPr>
          <w:rFonts w:eastAsia="方正仿宋_GBK"/>
          <w:color w:val="000000"/>
          <w:sz w:val="32"/>
          <w:szCs w:val="32"/>
        </w:rPr>
        <w:t>鼓楼区</w:t>
      </w:r>
      <w:r>
        <w:rPr>
          <w:rFonts w:hint="eastAsia" w:eastAsia="方正仿宋_GBK"/>
          <w:color w:val="000000"/>
          <w:sz w:val="32"/>
          <w:szCs w:val="32"/>
        </w:rPr>
        <w:t>人民</w:t>
      </w:r>
      <w:r>
        <w:rPr>
          <w:rFonts w:eastAsia="方正仿宋_GBK"/>
          <w:color w:val="000000"/>
          <w:sz w:val="32"/>
          <w:szCs w:val="32"/>
        </w:rPr>
        <w:t>政府办公室</w:t>
      </w:r>
    </w:p>
    <w:p>
      <w:pPr>
        <w:pStyle w:val="4"/>
        <w:snapToGrid w:val="0"/>
        <w:spacing w:before="0" w:beforeAutospacing="0" w:after="0" w:afterAutospacing="0" w:line="560" w:lineRule="exact"/>
        <w:ind w:firstLine="5440" w:firstLineChars="1700"/>
        <w:jc w:val="both"/>
        <w:rPr>
          <w:rFonts w:eastAsia="方正仿宋_GBK"/>
          <w:color w:val="000000"/>
          <w:sz w:val="32"/>
          <w:szCs w:val="32"/>
        </w:rPr>
      </w:pPr>
      <w:r>
        <w:rPr>
          <w:rFonts w:eastAsia="方正仿宋_GBK"/>
          <w:color w:val="000000"/>
          <w:sz w:val="32"/>
          <w:szCs w:val="32"/>
        </w:rPr>
        <w:t>2020年</w:t>
      </w:r>
      <w:r>
        <w:rPr>
          <w:rFonts w:hint="eastAsia" w:eastAsia="方正仿宋_GBK"/>
          <w:color w:val="000000"/>
          <w:sz w:val="32"/>
          <w:szCs w:val="32"/>
        </w:rPr>
        <w:t>1</w:t>
      </w:r>
      <w:r>
        <w:rPr>
          <w:rFonts w:hint="eastAsia" w:eastAsia="方正仿宋_GBK"/>
          <w:color w:val="000000"/>
          <w:sz w:val="32"/>
          <w:szCs w:val="32"/>
          <w:lang w:val="en-US" w:eastAsia="zh-CN"/>
        </w:rPr>
        <w:t>2</w:t>
      </w:r>
      <w:r>
        <w:rPr>
          <w:rFonts w:eastAsia="方正仿宋_GBK"/>
          <w:color w:val="000000"/>
          <w:sz w:val="32"/>
          <w:szCs w:val="32"/>
        </w:rPr>
        <w:t>月</w:t>
      </w:r>
      <w:r>
        <w:rPr>
          <w:rFonts w:hint="eastAsia" w:eastAsia="方正仿宋_GBK"/>
          <w:color w:val="000000"/>
          <w:sz w:val="32"/>
          <w:szCs w:val="32"/>
          <w:lang w:val="en-US" w:eastAsia="zh-CN"/>
        </w:rPr>
        <w:t>4</w:t>
      </w:r>
      <w:r>
        <w:rPr>
          <w:rFonts w:eastAsia="方正仿宋_GBK"/>
          <w:color w:val="000000"/>
          <w:sz w:val="32"/>
          <w:szCs w:val="32"/>
        </w:rPr>
        <w:t>日</w:t>
      </w: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both"/>
        <w:rPr>
          <w:rFonts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鼓楼区推进企业上市联席会议制度</w:t>
      </w:r>
    </w:p>
    <w:p>
      <w:pPr>
        <w:spacing w:line="600" w:lineRule="exact"/>
        <w:rPr>
          <w:rFonts w:eastAsia="方正仿宋_GBK"/>
          <w:sz w:val="32"/>
          <w:szCs w:val="32"/>
        </w:rPr>
      </w:pPr>
    </w:p>
    <w:p>
      <w:pPr>
        <w:spacing w:line="600" w:lineRule="exact"/>
        <w:ind w:firstLine="640" w:firstLineChars="200"/>
        <w:rPr>
          <w:rFonts w:eastAsia="方正仿宋_GBK"/>
          <w:bCs/>
          <w:sz w:val="32"/>
          <w:szCs w:val="32"/>
        </w:rPr>
      </w:pPr>
      <w:r>
        <w:rPr>
          <w:rFonts w:hint="eastAsia" w:eastAsia="方正仿宋_GBK"/>
          <w:bCs/>
          <w:sz w:val="32"/>
          <w:szCs w:val="32"/>
        </w:rPr>
        <w:t>为鼓励企业上市和上市公司再融资，扩大直接融资的规模和比重，推动区内企业做大做强，区政府决定建立鼓楼区推进企业上市联席会议制度，统筹、协调企业改制上市和上市再融资、并购重组进程中的各项工作。现就有关事项通知如下：</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一、组织构架</w:t>
      </w:r>
    </w:p>
    <w:p>
      <w:pPr>
        <w:spacing w:line="600" w:lineRule="exact"/>
        <w:ind w:firstLine="640" w:firstLineChars="200"/>
        <w:rPr>
          <w:rFonts w:eastAsia="方正仿宋_GBK"/>
          <w:bCs/>
          <w:sz w:val="32"/>
          <w:szCs w:val="32"/>
        </w:rPr>
      </w:pPr>
      <w:r>
        <w:rPr>
          <w:rFonts w:hint="eastAsia" w:eastAsia="方正仿宋_GBK"/>
          <w:bCs/>
          <w:sz w:val="32"/>
          <w:szCs w:val="32"/>
        </w:rPr>
        <w:t>鼓楼区推进企业上市联席会议，由区政府分管综合经济领导任召集人，区金融监管局局长任副召集人，成员单位为区金融监管局、区发改委、区科技局、区司法局、区财政局、区人社局、区建设局、区房产局、区商务局、区文旅局、区投促局、区行政审批局、区市场监管局、鼓楼生态环境局、区税务局、市规资局鼓楼分局、各街道、鼓楼高新区管委会、下关滨江管委会、铁北管委会。各成员单位分管领导为联席会议成员，确定的具体承办人员任联络员。联席会议办公室设在区金融监管局。</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二、会议机制</w:t>
      </w:r>
    </w:p>
    <w:p>
      <w:pPr>
        <w:spacing w:line="600" w:lineRule="exact"/>
        <w:ind w:firstLine="640" w:firstLineChars="200"/>
        <w:rPr>
          <w:rFonts w:eastAsia="方正仿宋_GBK"/>
          <w:bCs/>
          <w:sz w:val="32"/>
          <w:szCs w:val="32"/>
        </w:rPr>
      </w:pPr>
      <w:r>
        <w:rPr>
          <w:rFonts w:hint="eastAsia" w:eastAsia="方正仿宋_GBK"/>
          <w:bCs/>
          <w:sz w:val="32"/>
          <w:szCs w:val="32"/>
        </w:rPr>
        <w:t>联席会议办公室负责日常协调推进工作，根据需要报请召集人或副召集人召开联席会议。联席会议可根据工作需要邀请其他相关部门和资本市场中介机构参与。联席会议对议定事项以会议纪要等形式印发有关单位贯彻落实，同时报送召集人、副召集人。</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三、主要职责</w:t>
      </w:r>
    </w:p>
    <w:p>
      <w:pPr>
        <w:spacing w:line="600" w:lineRule="exact"/>
        <w:ind w:firstLine="640" w:firstLineChars="200"/>
        <w:rPr>
          <w:rFonts w:eastAsia="方正仿宋_GBK"/>
          <w:bCs/>
          <w:sz w:val="32"/>
          <w:szCs w:val="32"/>
        </w:rPr>
      </w:pPr>
      <w:r>
        <w:rPr>
          <w:rFonts w:hint="eastAsia" w:eastAsia="方正仿宋_GBK"/>
          <w:bCs/>
          <w:sz w:val="32"/>
          <w:szCs w:val="32"/>
        </w:rPr>
        <w:t>（一）研究、制定我区利用资本市场发展规划、阶段性目标，通报工作情况及进展；</w:t>
      </w:r>
    </w:p>
    <w:p>
      <w:pPr>
        <w:spacing w:line="600" w:lineRule="exact"/>
        <w:ind w:firstLine="640" w:firstLineChars="200"/>
        <w:rPr>
          <w:rFonts w:eastAsia="方正仿宋_GBK"/>
          <w:bCs/>
          <w:sz w:val="32"/>
          <w:szCs w:val="32"/>
        </w:rPr>
      </w:pPr>
      <w:r>
        <w:rPr>
          <w:rFonts w:hint="eastAsia" w:eastAsia="方正仿宋_GBK"/>
          <w:bCs/>
          <w:sz w:val="32"/>
          <w:szCs w:val="32"/>
        </w:rPr>
        <w:t>（二）为企业在多层次资本市场直接融资和上市过程中的重大事项做好服务和协调；</w:t>
      </w:r>
    </w:p>
    <w:p>
      <w:pPr>
        <w:spacing w:line="600" w:lineRule="exact"/>
        <w:ind w:firstLine="640" w:firstLineChars="200"/>
        <w:rPr>
          <w:rFonts w:eastAsia="方正仿宋_GBK"/>
          <w:bCs/>
          <w:sz w:val="32"/>
          <w:szCs w:val="32"/>
        </w:rPr>
      </w:pPr>
      <w:r>
        <w:rPr>
          <w:rFonts w:hint="eastAsia" w:eastAsia="方正仿宋_GBK"/>
          <w:bCs/>
          <w:sz w:val="32"/>
          <w:szCs w:val="32"/>
        </w:rPr>
        <w:t>（三）做好全区企业上市培育工作；</w:t>
      </w:r>
    </w:p>
    <w:p>
      <w:pPr>
        <w:spacing w:line="600" w:lineRule="exact"/>
        <w:ind w:firstLine="640" w:firstLineChars="200"/>
        <w:rPr>
          <w:rFonts w:eastAsia="方正仿宋_GBK"/>
          <w:bCs/>
          <w:sz w:val="32"/>
          <w:szCs w:val="32"/>
        </w:rPr>
      </w:pPr>
      <w:r>
        <w:rPr>
          <w:rFonts w:hint="eastAsia" w:eastAsia="方正仿宋_GBK"/>
          <w:bCs/>
          <w:sz w:val="32"/>
          <w:szCs w:val="32"/>
        </w:rPr>
        <w:t>（四）开展资本市场培训；</w:t>
      </w:r>
    </w:p>
    <w:p>
      <w:pPr>
        <w:spacing w:line="600" w:lineRule="exact"/>
        <w:ind w:firstLine="640" w:firstLineChars="200"/>
        <w:rPr>
          <w:rFonts w:eastAsia="方正仿宋_GBK"/>
          <w:bCs/>
          <w:sz w:val="32"/>
          <w:szCs w:val="32"/>
        </w:rPr>
      </w:pPr>
      <w:r>
        <w:rPr>
          <w:rFonts w:hint="eastAsia" w:eastAsia="方正仿宋_GBK"/>
          <w:bCs/>
          <w:sz w:val="32"/>
          <w:szCs w:val="32"/>
        </w:rPr>
        <w:t>（五）加强与省市有关部门的沟通协调。</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四、联席会议成员单位职责</w:t>
      </w:r>
    </w:p>
    <w:p>
      <w:pPr>
        <w:spacing w:line="600" w:lineRule="exact"/>
        <w:ind w:firstLine="640" w:firstLineChars="200"/>
        <w:rPr>
          <w:rFonts w:eastAsia="方正仿宋_GBK"/>
          <w:bCs/>
          <w:sz w:val="32"/>
          <w:szCs w:val="32"/>
        </w:rPr>
      </w:pPr>
      <w:r>
        <w:rPr>
          <w:rFonts w:hint="eastAsia" w:eastAsia="方正仿宋_GBK"/>
          <w:bCs/>
          <w:sz w:val="32"/>
          <w:szCs w:val="32"/>
        </w:rPr>
        <w:t>1、区金融监管局：负责联席会议办公室工作。负责牵头全区企业上市工作的统筹规划、组织协调和指导服务；制定全区推进企业上市工作的目标、政策、措施并组织实施；组织全区企业上市业务培训和宣传推介活动；协调有关单位解决企业在改制上市、再融资、并购重组过程中遇到的重大问题；负责与境内外证券交易所和券商等中介机构联系和沟通，并对证券中介机构在我区的执业情况进行跟踪评价；负责全区上市储备企业数据库的维护和管理；负责对上市公司再融资、资产重组等工作进行督促、指导和协调；完成联席会议交办的其他工作。</w:t>
      </w:r>
    </w:p>
    <w:p>
      <w:pPr>
        <w:spacing w:line="600" w:lineRule="exact"/>
        <w:ind w:firstLine="640" w:firstLineChars="200"/>
        <w:rPr>
          <w:rFonts w:eastAsia="方正仿宋_GBK"/>
          <w:bCs/>
          <w:sz w:val="32"/>
          <w:szCs w:val="32"/>
        </w:rPr>
      </w:pPr>
      <w:r>
        <w:rPr>
          <w:rFonts w:hint="eastAsia" w:eastAsia="方正仿宋_GBK"/>
          <w:bCs/>
          <w:sz w:val="32"/>
          <w:szCs w:val="32"/>
        </w:rPr>
        <w:t>2、区发改委：积极引导独角兽、瞪羚企业等对接资本市场；对拟上市企业募集资金项目的审批、核准和备案工作给予指导和支持，积极争取国家、省、市发改委对我区拟上市企业募集资金项目的支持。积极推动工信企业的上市引导和培育工作，研究提出相关政策建议。</w:t>
      </w:r>
    </w:p>
    <w:p>
      <w:pPr>
        <w:spacing w:line="600" w:lineRule="exact"/>
        <w:ind w:firstLine="640" w:firstLineChars="200"/>
        <w:rPr>
          <w:rFonts w:eastAsia="方正仿宋_GBK"/>
          <w:bCs/>
          <w:sz w:val="32"/>
          <w:szCs w:val="32"/>
        </w:rPr>
      </w:pPr>
      <w:r>
        <w:rPr>
          <w:rFonts w:hint="eastAsia" w:eastAsia="方正仿宋_GBK"/>
          <w:bCs/>
          <w:sz w:val="32"/>
          <w:szCs w:val="32"/>
        </w:rPr>
        <w:t>3、区科技局：积极引导全区高新技术企业对接资本市场，加大对科技型中小企业上市培育力度，研究提出引导和支持高新技术企业上市的政策建议，协调落实企业和项目的相关政策支持。</w:t>
      </w:r>
    </w:p>
    <w:p>
      <w:pPr>
        <w:spacing w:line="600" w:lineRule="exact"/>
        <w:ind w:firstLine="640" w:firstLineChars="200"/>
        <w:rPr>
          <w:rFonts w:eastAsia="方正仿宋_GBK"/>
          <w:bCs/>
          <w:sz w:val="32"/>
          <w:szCs w:val="32"/>
        </w:rPr>
      </w:pPr>
      <w:r>
        <w:rPr>
          <w:rFonts w:hint="eastAsia" w:eastAsia="方正仿宋_GBK"/>
          <w:bCs/>
          <w:sz w:val="32"/>
          <w:szCs w:val="32"/>
        </w:rPr>
        <w:t>4、区司法局：配合做好支持企业利用资本市场政策的制定和出台工作，协助提供相关法律意见和建议。</w:t>
      </w:r>
    </w:p>
    <w:p>
      <w:pPr>
        <w:spacing w:line="600" w:lineRule="exact"/>
        <w:ind w:firstLine="640" w:firstLineChars="200"/>
        <w:rPr>
          <w:rFonts w:eastAsia="方正仿宋_GBK"/>
          <w:bCs/>
          <w:sz w:val="32"/>
          <w:szCs w:val="32"/>
        </w:rPr>
      </w:pPr>
      <w:r>
        <w:rPr>
          <w:rFonts w:hint="eastAsia" w:eastAsia="方正仿宋_GBK"/>
          <w:bCs/>
          <w:sz w:val="32"/>
          <w:szCs w:val="32"/>
        </w:rPr>
        <w:t>5、区财政局：研究提出企业利用资本市场政策建议，落实财政扶持资金的兑现工作，协调解决企业上市过程中的财政政策问题。</w:t>
      </w:r>
    </w:p>
    <w:p>
      <w:pPr>
        <w:spacing w:line="600" w:lineRule="exact"/>
        <w:ind w:firstLine="640" w:firstLineChars="200"/>
        <w:rPr>
          <w:rFonts w:eastAsia="方正仿宋_GBK"/>
          <w:bCs/>
          <w:sz w:val="32"/>
          <w:szCs w:val="32"/>
        </w:rPr>
      </w:pPr>
      <w:r>
        <w:rPr>
          <w:rFonts w:hint="eastAsia" w:eastAsia="方正仿宋_GBK"/>
          <w:bCs/>
          <w:sz w:val="32"/>
          <w:szCs w:val="32"/>
        </w:rPr>
        <w:t>6、区建设局：协调落实企业上市过程中有关建设方面的审核许可文件、证照办理等，依法提供相关证明文件。</w:t>
      </w:r>
    </w:p>
    <w:p>
      <w:pPr>
        <w:spacing w:line="600" w:lineRule="exact"/>
        <w:ind w:firstLine="640" w:firstLineChars="200"/>
        <w:rPr>
          <w:rFonts w:eastAsia="方正仿宋_GBK"/>
          <w:bCs/>
          <w:sz w:val="32"/>
          <w:szCs w:val="32"/>
        </w:rPr>
      </w:pPr>
      <w:r>
        <w:rPr>
          <w:rFonts w:hint="eastAsia" w:eastAsia="方正仿宋_GBK"/>
          <w:bCs/>
          <w:sz w:val="32"/>
          <w:szCs w:val="32"/>
        </w:rPr>
        <w:t>7、区人社局：指导拟上市企业建立和完善劳动保障制度，依法提供企业参加社会保险、依法缴纳各项社会保险费和合法用工等证明文件。</w:t>
      </w:r>
    </w:p>
    <w:p>
      <w:pPr>
        <w:spacing w:line="600" w:lineRule="exact"/>
        <w:ind w:firstLine="640" w:firstLineChars="200"/>
        <w:rPr>
          <w:rFonts w:eastAsia="方正仿宋_GBK"/>
          <w:bCs/>
          <w:sz w:val="32"/>
          <w:szCs w:val="32"/>
        </w:rPr>
      </w:pPr>
      <w:r>
        <w:rPr>
          <w:rFonts w:hint="eastAsia" w:eastAsia="方正仿宋_GBK"/>
          <w:bCs/>
          <w:sz w:val="32"/>
          <w:szCs w:val="32"/>
        </w:rPr>
        <w:t>8、区房产局：帮助协调落实企业上市过程中有关房产等方面的审核许可、证照办理等事项，协调提供相关证明文件。</w:t>
      </w:r>
    </w:p>
    <w:p>
      <w:pPr>
        <w:spacing w:line="600" w:lineRule="exact"/>
        <w:ind w:firstLine="640" w:firstLineChars="200"/>
        <w:rPr>
          <w:rFonts w:eastAsia="方正仿宋_GBK"/>
          <w:bCs/>
          <w:sz w:val="32"/>
          <w:szCs w:val="32"/>
        </w:rPr>
      </w:pPr>
      <w:r>
        <w:rPr>
          <w:rFonts w:hint="eastAsia" w:eastAsia="方正仿宋_GBK"/>
          <w:bCs/>
          <w:sz w:val="32"/>
          <w:szCs w:val="32"/>
        </w:rPr>
        <w:t>9、区商务局：负责推动商贸流通企业上市工作，加大对各类商贸流通企业上市的培育力度，协调落实企业和项目的相关政策支持。</w:t>
      </w:r>
    </w:p>
    <w:p>
      <w:pPr>
        <w:spacing w:line="600" w:lineRule="exact"/>
        <w:ind w:firstLine="640" w:firstLineChars="200"/>
        <w:rPr>
          <w:rFonts w:eastAsia="方正仿宋_GBK"/>
          <w:bCs/>
          <w:sz w:val="32"/>
          <w:szCs w:val="32"/>
        </w:rPr>
      </w:pPr>
      <w:r>
        <w:rPr>
          <w:rFonts w:hint="eastAsia" w:eastAsia="方正仿宋_GBK"/>
          <w:bCs/>
          <w:sz w:val="32"/>
          <w:szCs w:val="32"/>
        </w:rPr>
        <w:t>10、区文旅局：负责推动文化旅游企业上市工作，加大对各类文化旅游企业上市的培育力度，协调落实企业和项目的相关政策支持。</w:t>
      </w:r>
    </w:p>
    <w:p>
      <w:pPr>
        <w:spacing w:line="600" w:lineRule="exact"/>
        <w:ind w:firstLine="640" w:firstLineChars="200"/>
        <w:rPr>
          <w:rFonts w:eastAsia="方正仿宋_GBK"/>
          <w:bCs/>
          <w:sz w:val="32"/>
          <w:szCs w:val="32"/>
        </w:rPr>
      </w:pPr>
      <w:r>
        <w:rPr>
          <w:rFonts w:hint="eastAsia" w:eastAsia="方正仿宋_GBK"/>
          <w:bCs/>
          <w:sz w:val="32"/>
          <w:szCs w:val="32"/>
        </w:rPr>
        <w:t>11、区投促局：通过招商引资工作，积极引进外地优质具有上市潜力的企业。</w:t>
      </w:r>
    </w:p>
    <w:p>
      <w:pPr>
        <w:spacing w:line="600" w:lineRule="exact"/>
        <w:ind w:firstLine="640" w:firstLineChars="200"/>
        <w:rPr>
          <w:rFonts w:eastAsia="方正仿宋_GBK"/>
          <w:bCs/>
          <w:sz w:val="32"/>
          <w:szCs w:val="32"/>
        </w:rPr>
      </w:pPr>
      <w:r>
        <w:rPr>
          <w:rFonts w:hint="eastAsia" w:eastAsia="方正仿宋_GBK"/>
          <w:bCs/>
          <w:sz w:val="32"/>
          <w:szCs w:val="32"/>
        </w:rPr>
        <w:t>12、区行政审批局：为区拟上市企业在改制、并购重组过程中的行政许可、变更提供指导，加快办理区拟上市企业行政许可、变更；支持、帮助企业妥善处理行政许可不规范等问题；提供全区股份有限公司登记基本情况，为拟上市企业储备库的建设提供数据基础。</w:t>
      </w:r>
    </w:p>
    <w:p>
      <w:pPr>
        <w:spacing w:line="600" w:lineRule="exact"/>
        <w:ind w:firstLine="640" w:firstLineChars="200"/>
        <w:rPr>
          <w:rFonts w:eastAsia="方正仿宋_GBK"/>
          <w:bCs/>
          <w:sz w:val="32"/>
          <w:szCs w:val="32"/>
        </w:rPr>
      </w:pPr>
      <w:r>
        <w:rPr>
          <w:rFonts w:hint="eastAsia" w:eastAsia="方正仿宋_GBK"/>
          <w:bCs/>
          <w:sz w:val="32"/>
          <w:szCs w:val="32"/>
        </w:rPr>
        <w:t>13、区市场监管局：协调落实企业上市过程中有关市场监督管理工作，依法提供相关证明文件。</w:t>
      </w:r>
    </w:p>
    <w:p>
      <w:pPr>
        <w:spacing w:line="600" w:lineRule="exact"/>
        <w:ind w:firstLine="640" w:firstLineChars="200"/>
        <w:rPr>
          <w:rFonts w:eastAsia="方正仿宋_GBK"/>
          <w:bCs/>
          <w:sz w:val="32"/>
          <w:szCs w:val="32"/>
        </w:rPr>
      </w:pPr>
      <w:r>
        <w:rPr>
          <w:rFonts w:hint="eastAsia" w:eastAsia="方正仿宋_GBK"/>
          <w:bCs/>
          <w:sz w:val="32"/>
          <w:szCs w:val="32"/>
        </w:rPr>
        <w:t>14、鼓楼生态环境局：研究提出拟上市公司执行环境保护法律法规、制度方面的措施建议，协调落实企业上市过程中有关项目环保审批工作，依法提供上市环保核查意见等相关文件。</w:t>
      </w:r>
    </w:p>
    <w:p>
      <w:pPr>
        <w:spacing w:line="600" w:lineRule="exact"/>
        <w:ind w:firstLine="640" w:firstLineChars="200"/>
        <w:rPr>
          <w:rFonts w:eastAsia="方正仿宋_GBK"/>
          <w:bCs/>
          <w:sz w:val="32"/>
          <w:szCs w:val="32"/>
        </w:rPr>
      </w:pPr>
      <w:r>
        <w:rPr>
          <w:rFonts w:hint="eastAsia" w:eastAsia="方正仿宋_GBK"/>
          <w:bCs/>
          <w:sz w:val="32"/>
          <w:szCs w:val="32"/>
        </w:rPr>
        <w:t>15、区税务局：负责协调企业改制上市过程中涉及的有关税收问题，依法提供企业纳税情况等证明文件。</w:t>
      </w:r>
    </w:p>
    <w:p>
      <w:pPr>
        <w:spacing w:line="600" w:lineRule="exact"/>
        <w:ind w:firstLine="640" w:firstLineChars="200"/>
        <w:rPr>
          <w:rFonts w:eastAsia="方正仿宋_GBK"/>
          <w:bCs/>
          <w:sz w:val="32"/>
          <w:szCs w:val="32"/>
        </w:rPr>
      </w:pPr>
      <w:r>
        <w:rPr>
          <w:rFonts w:hint="eastAsia" w:eastAsia="方正仿宋_GBK"/>
          <w:bCs/>
          <w:sz w:val="32"/>
          <w:szCs w:val="32"/>
        </w:rPr>
        <w:t>16、规划和自然资源局鼓楼分局：研究提出企业上市过程中涉及的土地评估和土地资产处置方面的措施建议，协调落实与企业上市有关的土地管理、不动产登记等工作，依法提供相关证明文件。</w:t>
      </w:r>
    </w:p>
    <w:p>
      <w:pPr>
        <w:spacing w:line="600" w:lineRule="exact"/>
        <w:ind w:firstLine="640" w:firstLineChars="200"/>
        <w:rPr>
          <w:rFonts w:eastAsia="方正仿宋_GBK"/>
          <w:bCs/>
          <w:sz w:val="32"/>
          <w:szCs w:val="32"/>
        </w:rPr>
      </w:pPr>
      <w:r>
        <w:rPr>
          <w:rFonts w:hint="eastAsia" w:eastAsia="方正仿宋_GBK"/>
          <w:bCs/>
          <w:sz w:val="32"/>
          <w:szCs w:val="32"/>
        </w:rPr>
        <w:t>17、各街道、鼓楼高新区管委会、下关滨江管委会、铁北管委会：</w:t>
      </w:r>
      <w:r>
        <w:rPr>
          <w:rFonts w:eastAsia="方正仿宋_GBK"/>
          <w:bCs/>
          <w:sz w:val="32"/>
          <w:szCs w:val="32"/>
        </w:rPr>
        <w:t>负责辖区内上市后备资源的发掘、培育工作，及时将符合条件的企业</w:t>
      </w:r>
      <w:r>
        <w:rPr>
          <w:rFonts w:hint="eastAsia" w:eastAsia="方正仿宋_GBK"/>
          <w:bCs/>
          <w:sz w:val="32"/>
          <w:szCs w:val="32"/>
        </w:rPr>
        <w:t>推荐纳入</w:t>
      </w:r>
      <w:r>
        <w:rPr>
          <w:rFonts w:eastAsia="方正仿宋_GBK"/>
          <w:bCs/>
          <w:sz w:val="32"/>
          <w:szCs w:val="32"/>
        </w:rPr>
        <w:t>全区</w:t>
      </w:r>
      <w:r>
        <w:rPr>
          <w:rFonts w:hint="eastAsia" w:eastAsia="方正仿宋_GBK"/>
          <w:bCs/>
          <w:sz w:val="32"/>
          <w:szCs w:val="32"/>
        </w:rPr>
        <w:t>拟上市</w:t>
      </w:r>
      <w:r>
        <w:rPr>
          <w:rFonts w:eastAsia="方正仿宋_GBK"/>
          <w:bCs/>
          <w:sz w:val="32"/>
          <w:szCs w:val="32"/>
        </w:rPr>
        <w:t>企业</w:t>
      </w:r>
      <w:r>
        <w:rPr>
          <w:rFonts w:hint="eastAsia" w:eastAsia="方正仿宋_GBK"/>
          <w:bCs/>
          <w:sz w:val="32"/>
          <w:szCs w:val="32"/>
        </w:rPr>
        <w:t>储备</w:t>
      </w:r>
      <w:r>
        <w:rPr>
          <w:rFonts w:eastAsia="方正仿宋_GBK"/>
          <w:bCs/>
          <w:sz w:val="32"/>
          <w:szCs w:val="32"/>
        </w:rPr>
        <w:t>库；协调解决辖区内企业改制上市过程中遇到的困难和问题</w:t>
      </w:r>
      <w:r>
        <w:rPr>
          <w:rFonts w:hint="eastAsia" w:eastAsia="方正仿宋_GBK"/>
          <w:bCs/>
          <w:sz w:val="32"/>
          <w:szCs w:val="32"/>
        </w:rPr>
        <w:t>。</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五、服务企业上市的绿色通道</w:t>
      </w:r>
    </w:p>
    <w:p>
      <w:pPr>
        <w:widowControl/>
        <w:wordWrap w:val="0"/>
        <w:spacing w:line="288" w:lineRule="auto"/>
        <w:ind w:firstLine="636" w:firstLineChars="199"/>
        <w:jc w:val="left"/>
        <w:rPr>
          <w:rFonts w:eastAsia="方正仿宋_GBK"/>
          <w:bCs/>
          <w:sz w:val="32"/>
          <w:szCs w:val="32"/>
        </w:rPr>
      </w:pPr>
      <w:r>
        <w:rPr>
          <w:rFonts w:hint="eastAsia" w:eastAsia="方正仿宋_GBK"/>
          <w:bCs/>
          <w:sz w:val="32"/>
          <w:szCs w:val="32"/>
        </w:rPr>
        <w:t>（一）建立拟上市企业储备机制</w:t>
      </w:r>
    </w:p>
    <w:p>
      <w:pPr>
        <w:widowControl/>
        <w:wordWrap w:val="0"/>
        <w:spacing w:line="288" w:lineRule="auto"/>
        <w:ind w:firstLine="640" w:firstLineChars="200"/>
        <w:jc w:val="left"/>
        <w:rPr>
          <w:rFonts w:eastAsia="方正仿宋_GBK"/>
          <w:bCs/>
          <w:sz w:val="32"/>
          <w:szCs w:val="32"/>
        </w:rPr>
      </w:pPr>
      <w:r>
        <w:rPr>
          <w:rFonts w:hint="eastAsia" w:eastAsia="方正仿宋_GBK"/>
          <w:bCs/>
          <w:sz w:val="32"/>
          <w:szCs w:val="32"/>
        </w:rPr>
        <w:t>区科技局、商务局、文旅局、投促局、各街道、高新区管委会、滨江管委会、铁北管委会每半年向区金融监管局推荐具有一定规模、上市意愿强烈的企业，并</w:t>
      </w:r>
      <w:bookmarkStart w:id="0" w:name="OLE_LINK6"/>
      <w:bookmarkStart w:id="1" w:name="OLE_LINK9"/>
      <w:r>
        <w:rPr>
          <w:rFonts w:hint="eastAsia" w:eastAsia="方正仿宋_GBK"/>
          <w:bCs/>
          <w:sz w:val="32"/>
          <w:szCs w:val="32"/>
        </w:rPr>
        <w:t>填报《鼓楼区拟上市企业申请表</w:t>
      </w:r>
      <w:bookmarkEnd w:id="0"/>
      <w:bookmarkEnd w:id="1"/>
      <w:r>
        <w:rPr>
          <w:rFonts w:hint="eastAsia" w:eastAsia="方正仿宋_GBK"/>
          <w:bCs/>
          <w:sz w:val="32"/>
          <w:szCs w:val="32"/>
        </w:rPr>
        <w:t>》。</w:t>
      </w:r>
    </w:p>
    <w:p>
      <w:pPr>
        <w:widowControl/>
        <w:wordWrap w:val="0"/>
        <w:spacing w:line="288" w:lineRule="auto"/>
        <w:ind w:firstLine="636" w:firstLineChars="199"/>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（二）建立服务拟上市企业特别程序</w:t>
      </w:r>
    </w:p>
    <w:p>
      <w:pPr>
        <w:spacing w:line="360" w:lineRule="auto"/>
        <w:ind w:right="105" w:rightChars="50" w:firstLine="640" w:firstLineChars="200"/>
        <w:rPr>
          <w:rFonts w:hint="default" w:ascii="Times New Roman" w:hAnsi="Times New Roman" w:eastAsia="方正仿宋_GBK" w:cs="Times New Roman"/>
          <w:bCs/>
          <w:sz w:val="32"/>
          <w:szCs w:val="32"/>
        </w:rPr>
      </w:pPr>
      <w:r>
        <w:rPr>
          <w:rFonts w:hint="eastAsia" w:eastAsia="方正仿宋_GBK" w:cs="Times New Roman"/>
          <w:bCs/>
          <w:sz w:val="32"/>
          <w:szCs w:val="32"/>
          <w:lang w:val="en-US" w:eastAsia="zh-CN"/>
        </w:rPr>
        <w:t>1</w:t>
      </w:r>
      <w:r>
        <w:rPr>
          <w:rFonts w:hint="default" w:ascii="Times New Roman" w:hAnsi="Times New Roman" w:eastAsia="方正仿宋_GBK" w:cs="Times New Roman"/>
          <w:bCs/>
          <w:sz w:val="32"/>
          <w:szCs w:val="32"/>
        </w:rPr>
        <w:t>、区金融监管局负责动态管理全区拟上市企业储备库，认定并分梯队培育拟上市储</w:t>
      </w:r>
      <w:bookmarkStart w:id="2" w:name="_GoBack"/>
      <w:bookmarkEnd w:id="2"/>
      <w:r>
        <w:rPr>
          <w:rFonts w:hint="default" w:ascii="Times New Roman" w:hAnsi="Times New Roman" w:eastAsia="方正仿宋_GBK" w:cs="Times New Roman"/>
          <w:bCs/>
          <w:sz w:val="32"/>
          <w:szCs w:val="32"/>
        </w:rPr>
        <w:t>备企业。</w:t>
      </w:r>
    </w:p>
    <w:p>
      <w:pPr>
        <w:widowControl/>
        <w:wordWrap w:val="0"/>
        <w:spacing w:line="288" w:lineRule="auto"/>
        <w:ind w:firstLine="672" w:firstLineChars="210"/>
        <w:jc w:val="left"/>
        <w:rPr>
          <w:rFonts w:eastAsia="方正仿宋_GBK"/>
          <w:bCs/>
          <w:sz w:val="32"/>
          <w:szCs w:val="32"/>
        </w:rPr>
      </w:pPr>
      <w:r>
        <w:rPr>
          <w:rFonts w:hint="default" w:ascii="Times New Roman" w:hAnsi="Times New Roman" w:eastAsia="方正仿宋_GBK" w:cs="Times New Roman"/>
          <w:bCs/>
          <w:sz w:val="32"/>
          <w:szCs w:val="32"/>
        </w:rPr>
        <w:t>2、对拟上市企业需到各部门办理合规证明的，由区金融监管局统一出具《关于申请出具</w:t>
      </w:r>
      <w:r>
        <w:rPr>
          <w:rFonts w:hint="eastAsia" w:eastAsia="方正仿宋_GBK"/>
          <w:bCs/>
          <w:sz w:val="32"/>
          <w:szCs w:val="32"/>
        </w:rPr>
        <w:t>XXX公司</w:t>
      </w:r>
      <w:r>
        <w:rPr>
          <w:rFonts w:eastAsia="方正仿宋_GBK"/>
          <w:bCs/>
          <w:sz w:val="32"/>
          <w:szCs w:val="32"/>
        </w:rPr>
        <w:t>合规证明的函</w:t>
      </w:r>
      <w:r>
        <w:rPr>
          <w:rFonts w:hint="eastAsia" w:eastAsia="方正仿宋_GBK"/>
          <w:bCs/>
          <w:sz w:val="32"/>
          <w:szCs w:val="32"/>
        </w:rPr>
        <w:t>》。各相关部门在企业合法合规的前提下，简化程序、特事特办，原则上五个工作日内予以协调解决。对拟上市企业需办理的各类事项，各部门内部由确定的分管领导负责协调办理，建立健全统一规范的办理程序，出具的证明性文件采用模板式文书，以利于企业上市审核通过。</w:t>
      </w:r>
    </w:p>
    <w:p>
      <w:pPr>
        <w:widowControl/>
        <w:wordWrap w:val="0"/>
        <w:spacing w:line="288" w:lineRule="auto"/>
        <w:ind w:firstLine="672" w:firstLineChars="210"/>
        <w:jc w:val="left"/>
        <w:rPr>
          <w:rFonts w:eastAsia="方正仿宋_GBK"/>
          <w:bCs/>
          <w:sz w:val="32"/>
          <w:szCs w:val="32"/>
        </w:rPr>
      </w:pPr>
      <w:r>
        <w:rPr>
          <w:rFonts w:hint="eastAsia" w:eastAsia="方正仿宋_GBK"/>
          <w:bCs/>
          <w:sz w:val="32"/>
          <w:szCs w:val="32"/>
        </w:rPr>
        <w:t>3、区金融监管局负责拟上市企业事项办理全程跟踪督促，各办理部门应及时向区金融监管局反馈办理情况。涉及部门无权解决或需跨部门解决的问题，由区金融监管局根据问题的性质、程度，提请召集人或副召集人召开专题研究会，或提请市金融监管局研究落实解决。对上述研究问题，区金融监管局及时将相关会议纪要、信息通报等反馈给相关部门。</w:t>
      </w:r>
    </w:p>
    <w:p>
      <w:pPr>
        <w:widowControl/>
        <w:wordWrap w:val="0"/>
        <w:spacing w:line="288" w:lineRule="auto"/>
        <w:ind w:firstLine="832" w:firstLineChars="260"/>
        <w:jc w:val="left"/>
        <w:rPr>
          <w:rFonts w:eastAsia="方正仿宋_GBK"/>
          <w:bCs/>
          <w:sz w:val="32"/>
          <w:szCs w:val="32"/>
        </w:rPr>
      </w:pPr>
    </w:p>
    <w:p>
      <w:pPr>
        <w:widowControl/>
        <w:wordWrap w:val="0"/>
        <w:spacing w:line="288" w:lineRule="auto"/>
        <w:ind w:firstLine="832" w:firstLineChars="260"/>
        <w:jc w:val="left"/>
        <w:rPr>
          <w:rFonts w:eastAsia="方正仿宋_GBK"/>
          <w:bCs/>
          <w:sz w:val="32"/>
          <w:szCs w:val="32"/>
        </w:rPr>
      </w:pPr>
      <w:r>
        <w:rPr>
          <w:rFonts w:hint="eastAsia" w:eastAsia="方正仿宋_GBK"/>
          <w:bCs/>
          <w:sz w:val="32"/>
          <w:szCs w:val="32"/>
        </w:rPr>
        <w:t>附件:《鼓楼区拟上市企业申请表》</w:t>
      </w: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snapToGrid w:val="0"/>
        <w:spacing w:line="360" w:lineRule="auto"/>
        <w:jc w:val="left"/>
        <w:rPr>
          <w:rFonts w:ascii="黑体" w:hAnsi="黑体" w:eastAsia="黑体"/>
          <w:bCs/>
          <w:sz w:val="32"/>
          <w:szCs w:val="32"/>
        </w:rPr>
        <w:sectPr>
          <w:footerReference r:id="rId3" w:type="default"/>
          <w:pgSz w:w="11906" w:h="16838"/>
          <w:pgMar w:top="2098" w:right="1418" w:bottom="1984" w:left="1418" w:header="851" w:footer="992" w:gutter="0"/>
          <w:pgNumType w:fmt="numberInDash"/>
          <w:cols w:space="425" w:num="1"/>
          <w:docGrid w:type="lines" w:linePitch="312" w:charSpace="0"/>
        </w:sectPr>
      </w:pPr>
    </w:p>
    <w:p>
      <w:pPr>
        <w:widowControl/>
        <w:snapToGrid w:val="0"/>
        <w:spacing w:line="360" w:lineRule="auto"/>
        <w:jc w:val="left"/>
        <w:rPr>
          <w:rFonts w:ascii="黑体" w:hAnsi="黑体" w:eastAsia="黑体"/>
          <w:bCs/>
          <w:sz w:val="32"/>
          <w:szCs w:val="32"/>
        </w:rPr>
      </w:pPr>
      <w:r>
        <w:rPr>
          <w:rFonts w:hint="eastAsia" w:ascii="黑体" w:hAnsi="黑体" w:eastAsia="黑体"/>
          <w:bCs/>
          <w:sz w:val="32"/>
          <w:szCs w:val="32"/>
        </w:rPr>
        <w:t>附件</w:t>
      </w:r>
    </w:p>
    <w:p>
      <w:pPr>
        <w:widowControl/>
        <w:snapToGrid w:val="0"/>
        <w:spacing w:line="360" w:lineRule="auto"/>
        <w:jc w:val="center"/>
        <w:rPr>
          <w:rFonts w:ascii="方正小标宋_GBK" w:eastAsia="方正小标宋_GBK"/>
          <w:snapToGrid w:val="0"/>
          <w:kern w:val="0"/>
          <w:sz w:val="44"/>
          <w:szCs w:val="44"/>
        </w:rPr>
      </w:pPr>
      <w:r>
        <w:rPr>
          <w:rFonts w:hint="eastAsia" w:ascii="方正小标宋_GBK" w:eastAsia="方正小标宋_GBK"/>
          <w:snapToGrid w:val="0"/>
          <w:kern w:val="0"/>
          <w:sz w:val="44"/>
          <w:szCs w:val="44"/>
        </w:rPr>
        <w:t>鼓楼区拟上市企业申请表</w:t>
      </w:r>
    </w:p>
    <w:tbl>
      <w:tblPr>
        <w:tblStyle w:val="5"/>
        <w:tblW w:w="9260" w:type="dxa"/>
        <w:jc w:val="center"/>
        <w:tblLayout w:type="fixed"/>
        <w:tblCellMar>
          <w:top w:w="0" w:type="dxa"/>
          <w:left w:w="108" w:type="dxa"/>
          <w:bottom w:w="0" w:type="dxa"/>
          <w:right w:w="108" w:type="dxa"/>
        </w:tblCellMar>
      </w:tblPr>
      <w:tblGrid>
        <w:gridCol w:w="1980"/>
        <w:gridCol w:w="1820"/>
        <w:gridCol w:w="1400"/>
        <w:gridCol w:w="1314"/>
        <w:gridCol w:w="1101"/>
        <w:gridCol w:w="1645"/>
      </w:tblGrid>
      <w:tr>
        <w:tblPrEx>
          <w:tblCellMar>
            <w:top w:w="0" w:type="dxa"/>
            <w:left w:w="108" w:type="dxa"/>
            <w:bottom w:w="0" w:type="dxa"/>
            <w:right w:w="108" w:type="dxa"/>
          </w:tblCellMar>
        </w:tblPrEx>
        <w:trPr>
          <w:trHeight w:val="57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企业名称（全称）</w:t>
            </w:r>
          </w:p>
        </w:tc>
        <w:tc>
          <w:tcPr>
            <w:tcW w:w="3220"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注册资本</w:t>
            </w:r>
            <w:r>
              <w:rPr>
                <w:b/>
                <w:color w:val="000000"/>
                <w:kern w:val="0"/>
                <w:sz w:val="24"/>
              </w:rPr>
              <w:br w:type="textWrapping"/>
            </w:r>
            <w:r>
              <w:rPr>
                <w:b/>
                <w:color w:val="000000"/>
                <w:kern w:val="0"/>
                <w:sz w:val="24"/>
              </w:rPr>
              <w:t>（万元）</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502"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企业注册地址</w:t>
            </w:r>
          </w:p>
        </w:tc>
        <w:tc>
          <w:tcPr>
            <w:tcW w:w="3220"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1314" w:type="dxa"/>
            <w:tcBorders>
              <w:top w:val="nil"/>
              <w:left w:val="nil"/>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辖 区</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315"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企业性质</w:t>
            </w:r>
          </w:p>
        </w:tc>
        <w:tc>
          <w:tcPr>
            <w:tcW w:w="1820" w:type="dxa"/>
            <w:tcBorders>
              <w:top w:val="nil"/>
              <w:left w:val="nil"/>
              <w:bottom w:val="single" w:color="auto" w:sz="4" w:space="0"/>
              <w:right w:val="single" w:color="auto" w:sz="4" w:space="0"/>
            </w:tcBorders>
            <w:noWrap/>
            <w:vAlign w:val="center"/>
          </w:tcPr>
          <w:p>
            <w:pPr>
              <w:widowControl/>
              <w:jc w:val="center"/>
              <w:rPr>
                <w:rFonts w:eastAsia="仿宋_GB2312"/>
                <w:color w:val="000000"/>
                <w:kern w:val="0"/>
                <w:sz w:val="24"/>
              </w:rPr>
            </w:pPr>
            <w:r>
              <w:rPr>
                <w:rFonts w:eastAsia="等线"/>
                <w:color w:val="000000"/>
                <w:kern w:val="0"/>
                <w:sz w:val="24"/>
              </w:rPr>
              <w:t>□</w:t>
            </w:r>
            <w:r>
              <w:rPr>
                <w:rFonts w:eastAsia="仿宋_GB2312"/>
                <w:color w:val="000000"/>
                <w:kern w:val="0"/>
                <w:sz w:val="24"/>
              </w:rPr>
              <w:t>国有控股</w:t>
            </w:r>
          </w:p>
        </w:tc>
        <w:tc>
          <w:tcPr>
            <w:tcW w:w="1400" w:type="dxa"/>
            <w:tcBorders>
              <w:top w:val="nil"/>
              <w:left w:val="nil"/>
              <w:bottom w:val="single" w:color="auto" w:sz="4" w:space="0"/>
              <w:right w:val="single" w:color="auto" w:sz="4" w:space="0"/>
            </w:tcBorders>
            <w:noWrap/>
            <w:vAlign w:val="center"/>
          </w:tcPr>
          <w:p>
            <w:pPr>
              <w:widowControl/>
              <w:jc w:val="center"/>
              <w:rPr>
                <w:rFonts w:eastAsia="仿宋_GB2312"/>
                <w:color w:val="000000"/>
                <w:kern w:val="0"/>
                <w:sz w:val="24"/>
              </w:rPr>
            </w:pPr>
            <w:r>
              <w:rPr>
                <w:rFonts w:eastAsia="等线"/>
                <w:color w:val="000000"/>
                <w:kern w:val="0"/>
                <w:sz w:val="24"/>
              </w:rPr>
              <w:t>□</w:t>
            </w:r>
            <w:r>
              <w:rPr>
                <w:rFonts w:eastAsia="仿宋_GB2312"/>
                <w:color w:val="000000"/>
                <w:kern w:val="0"/>
                <w:sz w:val="24"/>
              </w:rPr>
              <w:t>民营控股</w:t>
            </w:r>
          </w:p>
        </w:tc>
        <w:tc>
          <w:tcPr>
            <w:tcW w:w="1314" w:type="dxa"/>
            <w:tcBorders>
              <w:top w:val="nil"/>
              <w:left w:val="nil"/>
              <w:bottom w:val="single" w:color="auto" w:sz="4" w:space="0"/>
              <w:right w:val="single" w:color="auto" w:sz="4" w:space="0"/>
            </w:tcBorders>
            <w:noWrap/>
            <w:vAlign w:val="center"/>
          </w:tcPr>
          <w:p>
            <w:pPr>
              <w:widowControl/>
              <w:jc w:val="center"/>
              <w:rPr>
                <w:rFonts w:eastAsia="仿宋_GB2312"/>
                <w:color w:val="000000"/>
                <w:kern w:val="0"/>
                <w:sz w:val="22"/>
                <w:szCs w:val="22"/>
              </w:rPr>
            </w:pPr>
            <w:r>
              <w:rPr>
                <w:rFonts w:eastAsia="等线"/>
                <w:color w:val="000000"/>
                <w:kern w:val="0"/>
                <w:sz w:val="24"/>
              </w:rPr>
              <w:t>□</w:t>
            </w:r>
            <w:r>
              <w:rPr>
                <w:rFonts w:eastAsia="仿宋_GB2312"/>
                <w:color w:val="000000"/>
                <w:kern w:val="0"/>
                <w:sz w:val="22"/>
                <w:szCs w:val="22"/>
              </w:rPr>
              <w:t>外资控股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eastAsia="等线"/>
                <w:color w:val="000000"/>
                <w:kern w:val="0"/>
                <w:sz w:val="24"/>
              </w:rPr>
            </w:pPr>
            <w:r>
              <w:rPr>
                <w:rFonts w:eastAsia="等线"/>
                <w:color w:val="000000"/>
                <w:kern w:val="0"/>
                <w:sz w:val="24"/>
              </w:rPr>
              <w:t>□</w:t>
            </w:r>
            <w:r>
              <w:rPr>
                <w:color w:val="000000"/>
                <w:kern w:val="0"/>
                <w:sz w:val="24"/>
              </w:rPr>
              <w:t>其他（请注明）</w:t>
            </w:r>
          </w:p>
        </w:tc>
      </w:tr>
      <w:tr>
        <w:tblPrEx>
          <w:tblCellMar>
            <w:top w:w="0" w:type="dxa"/>
            <w:left w:w="108" w:type="dxa"/>
            <w:bottom w:w="0" w:type="dxa"/>
            <w:right w:w="108" w:type="dxa"/>
          </w:tblCellMar>
        </w:tblPrEx>
        <w:trPr>
          <w:trHeight w:val="315"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董事长</w:t>
            </w: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1400" w:type="dxa"/>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办公电话</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手　 机</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315"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总经理</w:t>
            </w: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1400" w:type="dxa"/>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办公电话</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手　 机</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315"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董</w:t>
            </w:r>
            <w:r>
              <w:rPr>
                <w:rFonts w:hint="eastAsia"/>
                <w:b/>
                <w:color w:val="000000"/>
                <w:kern w:val="0"/>
                <w:sz w:val="24"/>
              </w:rPr>
              <w:t xml:space="preserve">  </w:t>
            </w:r>
            <w:r>
              <w:rPr>
                <w:b/>
                <w:color w:val="000000"/>
                <w:kern w:val="0"/>
                <w:sz w:val="24"/>
              </w:rPr>
              <w:t>秘　　　</w:t>
            </w: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1400" w:type="dxa"/>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办公电话</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手　 机</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所属行业</w:t>
            </w:r>
          </w:p>
        </w:tc>
        <w:tc>
          <w:tcPr>
            <w:tcW w:w="7280" w:type="dxa"/>
            <w:gridSpan w:val="5"/>
            <w:tcBorders>
              <w:top w:val="single" w:color="auto" w:sz="4" w:space="0"/>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80" w:hRule="atLeast"/>
          <w:jc w:val="center"/>
        </w:trPr>
        <w:tc>
          <w:tcPr>
            <w:tcW w:w="1980" w:type="dxa"/>
            <w:vMerge w:val="restart"/>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企业简介</w:t>
            </w:r>
            <w:r>
              <w:rPr>
                <w:b/>
                <w:color w:val="000000"/>
                <w:kern w:val="0"/>
                <w:sz w:val="24"/>
              </w:rPr>
              <w:br w:type="textWrapping"/>
            </w:r>
            <w:r>
              <w:rPr>
                <w:b/>
                <w:color w:val="000000"/>
                <w:kern w:val="0"/>
                <w:sz w:val="24"/>
              </w:rPr>
              <w:t>（主营业务、竞争优势等）</w:t>
            </w:r>
          </w:p>
        </w:tc>
        <w:tc>
          <w:tcPr>
            <w:tcW w:w="7280" w:type="dxa"/>
            <w:gridSpan w:val="5"/>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64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7280" w:type="dxa"/>
            <w:gridSpan w:val="5"/>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kern w:val="0"/>
                <w:sz w:val="24"/>
              </w:rPr>
            </w:pPr>
          </w:p>
        </w:tc>
      </w:tr>
      <w:tr>
        <w:tblPrEx>
          <w:tblCellMar>
            <w:top w:w="0" w:type="dxa"/>
            <w:left w:w="108" w:type="dxa"/>
            <w:bottom w:w="0" w:type="dxa"/>
            <w:right w:w="108" w:type="dxa"/>
          </w:tblCellMar>
        </w:tblPrEx>
        <w:trPr>
          <w:trHeight w:val="315" w:hRule="atLeast"/>
          <w:jc w:val="center"/>
        </w:trPr>
        <w:tc>
          <w:tcPr>
            <w:tcW w:w="1980" w:type="dxa"/>
            <w:vMerge w:val="restart"/>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股本结构</w:t>
            </w:r>
            <w:r>
              <w:rPr>
                <w:b/>
                <w:color w:val="000000"/>
                <w:kern w:val="0"/>
                <w:sz w:val="24"/>
              </w:rPr>
              <w:br w:type="textWrapping"/>
            </w:r>
            <w:r>
              <w:rPr>
                <w:b/>
                <w:color w:val="000000"/>
                <w:kern w:val="0"/>
                <w:sz w:val="24"/>
              </w:rPr>
              <w:t>（前五名股东）</w:t>
            </w: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股东名称</w:t>
            </w:r>
          </w:p>
        </w:tc>
        <w:tc>
          <w:tcPr>
            <w:tcW w:w="2746" w:type="dxa"/>
            <w:gridSpan w:val="2"/>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持股比例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90"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4534"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合计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p>
        </w:tc>
      </w:tr>
      <w:tr>
        <w:tblPrEx>
          <w:tblCellMar>
            <w:top w:w="0" w:type="dxa"/>
            <w:left w:w="108" w:type="dxa"/>
            <w:bottom w:w="0" w:type="dxa"/>
            <w:right w:w="108" w:type="dxa"/>
          </w:tblCellMar>
        </w:tblPrEx>
        <w:trPr>
          <w:trHeight w:val="315" w:hRule="atLeast"/>
          <w:jc w:val="center"/>
        </w:trPr>
        <w:tc>
          <w:tcPr>
            <w:tcW w:w="1980" w:type="dxa"/>
            <w:vMerge w:val="restart"/>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财务数据</w:t>
            </w:r>
          </w:p>
          <w:p>
            <w:pPr>
              <w:widowControl/>
              <w:jc w:val="center"/>
              <w:rPr>
                <w:b/>
                <w:color w:val="000000"/>
                <w:kern w:val="0"/>
                <w:sz w:val="24"/>
              </w:rPr>
            </w:pPr>
            <w:r>
              <w:rPr>
                <w:b/>
                <w:color w:val="000000"/>
                <w:kern w:val="0"/>
                <w:sz w:val="24"/>
              </w:rPr>
              <w:t>（万元）</w:t>
            </w: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　</w:t>
            </w:r>
          </w:p>
        </w:tc>
        <w:tc>
          <w:tcPr>
            <w:tcW w:w="1400" w:type="dxa"/>
            <w:tcBorders>
              <w:top w:val="nil"/>
              <w:left w:val="nil"/>
              <w:bottom w:val="single" w:color="auto" w:sz="4" w:space="0"/>
              <w:right w:val="single" w:color="auto" w:sz="4" w:space="0"/>
            </w:tcBorders>
            <w:noWrap/>
            <w:vAlign w:val="center"/>
          </w:tcPr>
          <w:p>
            <w:pPr>
              <w:widowControl/>
              <w:ind w:firstLine="840" w:firstLineChars="350"/>
              <w:jc w:val="left"/>
              <w:rPr>
                <w:rFonts w:eastAsia="等线"/>
                <w:color w:val="000000"/>
                <w:kern w:val="0"/>
                <w:sz w:val="24"/>
              </w:rPr>
            </w:pPr>
            <w:r>
              <w:rPr>
                <w:color w:val="000000"/>
                <w:kern w:val="0"/>
                <w:sz w:val="24"/>
              </w:rPr>
              <w:t>年</w:t>
            </w:r>
          </w:p>
        </w:tc>
        <w:tc>
          <w:tcPr>
            <w:tcW w:w="1314" w:type="dxa"/>
            <w:tcBorders>
              <w:top w:val="nil"/>
              <w:left w:val="nil"/>
              <w:bottom w:val="single" w:color="auto" w:sz="4" w:space="0"/>
              <w:right w:val="single" w:color="auto" w:sz="4" w:space="0"/>
            </w:tcBorders>
            <w:noWrap/>
            <w:vAlign w:val="center"/>
          </w:tcPr>
          <w:p>
            <w:pPr>
              <w:widowControl/>
              <w:ind w:firstLine="720" w:firstLineChars="300"/>
              <w:jc w:val="left"/>
              <w:rPr>
                <w:rFonts w:eastAsia="等线"/>
                <w:color w:val="000000"/>
                <w:kern w:val="0"/>
                <w:sz w:val="24"/>
              </w:rPr>
            </w:pPr>
            <w:r>
              <w:rPr>
                <w:color w:val="000000"/>
                <w:kern w:val="0"/>
                <w:sz w:val="24"/>
              </w:rPr>
              <w:t>年</w:t>
            </w:r>
          </w:p>
        </w:tc>
        <w:tc>
          <w:tcPr>
            <w:tcW w:w="1101" w:type="dxa"/>
            <w:tcBorders>
              <w:top w:val="nil"/>
              <w:left w:val="nil"/>
              <w:bottom w:val="single" w:color="auto" w:sz="4" w:space="0"/>
              <w:right w:val="single" w:color="auto" w:sz="4" w:space="0"/>
            </w:tcBorders>
            <w:noWrap/>
            <w:vAlign w:val="center"/>
          </w:tcPr>
          <w:p>
            <w:pPr>
              <w:widowControl/>
              <w:ind w:firstLine="600" w:firstLineChars="250"/>
              <w:jc w:val="left"/>
              <w:rPr>
                <w:rFonts w:eastAsia="等线"/>
                <w:color w:val="000000"/>
                <w:kern w:val="0"/>
                <w:sz w:val="24"/>
              </w:rPr>
            </w:pPr>
            <w:r>
              <w:rPr>
                <w:color w:val="000000"/>
                <w:kern w:val="0"/>
                <w:sz w:val="24"/>
              </w:rPr>
              <w:t>年</w:t>
            </w:r>
          </w:p>
        </w:tc>
        <w:tc>
          <w:tcPr>
            <w:tcW w:w="1645" w:type="dxa"/>
            <w:tcBorders>
              <w:top w:val="nil"/>
              <w:left w:val="nil"/>
              <w:bottom w:val="single" w:color="auto" w:sz="4" w:space="0"/>
              <w:right w:val="single" w:color="auto" w:sz="4" w:space="0"/>
            </w:tcBorders>
            <w:noWrap/>
            <w:vAlign w:val="center"/>
          </w:tcPr>
          <w:p>
            <w:pPr>
              <w:widowControl/>
              <w:ind w:firstLine="440" w:firstLineChars="200"/>
              <w:jc w:val="left"/>
              <w:rPr>
                <w:rFonts w:eastAsia="等线"/>
                <w:color w:val="000000"/>
                <w:kern w:val="0"/>
                <w:sz w:val="24"/>
              </w:rPr>
            </w:pPr>
            <w:r>
              <w:rPr>
                <w:rFonts w:hint="eastAsia" w:eastAsia="等线"/>
                <w:color w:val="000000"/>
                <w:kern w:val="0"/>
                <w:sz w:val="22"/>
                <w:szCs w:val="22"/>
              </w:rPr>
              <w:t>年上半年</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总资产</w:t>
            </w:r>
          </w:p>
        </w:tc>
        <w:tc>
          <w:tcPr>
            <w:tcW w:w="1400"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净资产</w:t>
            </w:r>
          </w:p>
        </w:tc>
        <w:tc>
          <w:tcPr>
            <w:tcW w:w="1400"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主营业务收入</w:t>
            </w:r>
          </w:p>
        </w:tc>
        <w:tc>
          <w:tcPr>
            <w:tcW w:w="1400"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8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b/>
                <w:color w:val="000000"/>
                <w:kern w:val="0"/>
                <w:sz w:val="24"/>
              </w:rPr>
            </w:pPr>
          </w:p>
        </w:tc>
        <w:tc>
          <w:tcPr>
            <w:tcW w:w="1820" w:type="dxa"/>
            <w:tcBorders>
              <w:top w:val="nil"/>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扣非净利润</w:t>
            </w:r>
          </w:p>
        </w:tc>
        <w:tc>
          <w:tcPr>
            <w:tcW w:w="1400"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314"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101"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1440"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拟上市板块</w:t>
            </w:r>
          </w:p>
        </w:tc>
        <w:tc>
          <w:tcPr>
            <w:tcW w:w="1820"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c>
          <w:tcPr>
            <w:tcW w:w="1400" w:type="dxa"/>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企业改制上市所处阶段</w:t>
            </w:r>
          </w:p>
        </w:tc>
        <w:tc>
          <w:tcPr>
            <w:tcW w:w="4060" w:type="dxa"/>
            <w:gridSpan w:val="3"/>
            <w:tcBorders>
              <w:top w:val="single" w:color="auto" w:sz="4" w:space="0"/>
              <w:left w:val="nil"/>
              <w:bottom w:val="single" w:color="auto" w:sz="4" w:space="0"/>
              <w:right w:val="single" w:color="auto" w:sz="4" w:space="0"/>
            </w:tcBorders>
            <w:noWrap/>
            <w:vAlign w:val="center"/>
          </w:tcPr>
          <w:p>
            <w:pPr>
              <w:widowControl/>
              <w:jc w:val="center"/>
              <w:rPr>
                <w:color w:val="000000"/>
                <w:kern w:val="0"/>
                <w:sz w:val="24"/>
              </w:rPr>
            </w:pPr>
            <w:r>
              <w:rPr>
                <w:color w:val="000000"/>
                <w:kern w:val="0"/>
                <w:sz w:val="24"/>
              </w:rPr>
              <w:t>（有上市意向、签约券商、正在股改、改制完成、辅导备案、申报、初审会、发审会等）</w:t>
            </w:r>
          </w:p>
        </w:tc>
      </w:tr>
      <w:tr>
        <w:tblPrEx>
          <w:tblCellMar>
            <w:top w:w="0" w:type="dxa"/>
            <w:left w:w="108" w:type="dxa"/>
            <w:bottom w:w="0" w:type="dxa"/>
            <w:right w:w="108" w:type="dxa"/>
          </w:tblCellMar>
        </w:tblPrEx>
        <w:trPr>
          <w:trHeight w:val="495" w:hRule="atLeast"/>
          <w:jc w:val="center"/>
        </w:trPr>
        <w:tc>
          <w:tcPr>
            <w:tcW w:w="1980" w:type="dxa"/>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b/>
                <w:color w:val="000000"/>
                <w:kern w:val="0"/>
                <w:sz w:val="24"/>
              </w:rPr>
              <w:t>保荐机构</w:t>
            </w:r>
          </w:p>
        </w:tc>
        <w:tc>
          <w:tcPr>
            <w:tcW w:w="1820" w:type="dxa"/>
            <w:tcBorders>
              <w:top w:val="nil"/>
              <w:left w:val="nil"/>
              <w:bottom w:val="single" w:color="auto" w:sz="4" w:space="0"/>
              <w:right w:val="single" w:color="auto" w:sz="4" w:space="0"/>
            </w:tcBorders>
            <w:noWrap/>
            <w:vAlign w:val="bottom"/>
          </w:tcPr>
          <w:p>
            <w:pPr>
              <w:widowControl/>
              <w:jc w:val="left"/>
              <w:rPr>
                <w:rFonts w:eastAsia="等线"/>
                <w:color w:val="000000"/>
                <w:kern w:val="0"/>
                <w:sz w:val="22"/>
                <w:szCs w:val="22"/>
              </w:rPr>
            </w:pPr>
            <w:r>
              <w:rPr>
                <w:rFonts w:eastAsia="等线"/>
                <w:color w:val="000000"/>
                <w:kern w:val="0"/>
                <w:sz w:val="22"/>
                <w:szCs w:val="22"/>
              </w:rPr>
              <w:t>　</w:t>
            </w:r>
          </w:p>
        </w:tc>
        <w:tc>
          <w:tcPr>
            <w:tcW w:w="1400" w:type="dxa"/>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审计机构</w:t>
            </w:r>
          </w:p>
        </w:tc>
        <w:tc>
          <w:tcPr>
            <w:tcW w:w="1314" w:type="dxa"/>
            <w:tcBorders>
              <w:top w:val="nil"/>
              <w:left w:val="nil"/>
              <w:bottom w:val="single" w:color="auto" w:sz="4" w:space="0"/>
              <w:right w:val="single" w:color="auto" w:sz="4" w:space="0"/>
            </w:tcBorders>
            <w:noWrap/>
            <w:vAlign w:val="bottom"/>
          </w:tcPr>
          <w:p>
            <w:pPr>
              <w:widowControl/>
              <w:jc w:val="left"/>
              <w:rPr>
                <w:rFonts w:eastAsia="等线"/>
                <w:color w:val="000000"/>
                <w:kern w:val="0"/>
                <w:sz w:val="22"/>
                <w:szCs w:val="22"/>
              </w:rPr>
            </w:pPr>
            <w:r>
              <w:rPr>
                <w:rFonts w:eastAsia="等线"/>
                <w:color w:val="000000"/>
                <w:kern w:val="0"/>
                <w:sz w:val="22"/>
                <w:szCs w:val="22"/>
              </w:rPr>
              <w:t>　</w:t>
            </w:r>
          </w:p>
        </w:tc>
        <w:tc>
          <w:tcPr>
            <w:tcW w:w="1101" w:type="dxa"/>
            <w:tcBorders>
              <w:top w:val="nil"/>
              <w:left w:val="nil"/>
              <w:bottom w:val="single" w:color="auto" w:sz="4" w:space="0"/>
              <w:right w:val="single" w:color="auto" w:sz="4" w:space="0"/>
            </w:tcBorders>
            <w:noWrap/>
            <w:vAlign w:val="center"/>
          </w:tcPr>
          <w:p>
            <w:pPr>
              <w:widowControl/>
              <w:jc w:val="left"/>
              <w:rPr>
                <w:b/>
                <w:color w:val="000000"/>
                <w:kern w:val="0"/>
                <w:sz w:val="24"/>
              </w:rPr>
            </w:pPr>
            <w:r>
              <w:rPr>
                <w:b/>
                <w:color w:val="000000"/>
                <w:kern w:val="0"/>
                <w:sz w:val="24"/>
              </w:rPr>
              <w:t>律师事务所</w:t>
            </w:r>
          </w:p>
        </w:tc>
        <w:tc>
          <w:tcPr>
            <w:tcW w:w="1645" w:type="dxa"/>
            <w:tcBorders>
              <w:top w:val="nil"/>
              <w:left w:val="nil"/>
              <w:bottom w:val="single" w:color="auto" w:sz="4" w:space="0"/>
              <w:right w:val="single" w:color="auto" w:sz="4" w:space="0"/>
            </w:tcBorders>
            <w:noWrap/>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315" w:hRule="atLeast"/>
          <w:jc w:val="center"/>
        </w:trPr>
        <w:tc>
          <w:tcPr>
            <w:tcW w:w="1980" w:type="dxa"/>
            <w:vMerge w:val="restart"/>
            <w:tcBorders>
              <w:top w:val="nil"/>
              <w:left w:val="single" w:color="auto" w:sz="4" w:space="0"/>
              <w:bottom w:val="single" w:color="auto" w:sz="4" w:space="0"/>
              <w:right w:val="single" w:color="auto" w:sz="4" w:space="0"/>
            </w:tcBorders>
            <w:noWrap/>
            <w:vAlign w:val="center"/>
          </w:tcPr>
          <w:p>
            <w:pPr>
              <w:widowControl/>
              <w:jc w:val="center"/>
              <w:rPr>
                <w:b/>
                <w:color w:val="000000"/>
                <w:kern w:val="0"/>
                <w:sz w:val="24"/>
              </w:rPr>
            </w:pPr>
            <w:r>
              <w:rPr>
                <w:rFonts w:hint="eastAsia"/>
                <w:b/>
                <w:color w:val="000000"/>
                <w:kern w:val="0"/>
                <w:sz w:val="24"/>
              </w:rPr>
              <w:t>备注</w:t>
            </w:r>
          </w:p>
        </w:tc>
        <w:tc>
          <w:tcPr>
            <w:tcW w:w="7280" w:type="dxa"/>
            <w:gridSpan w:val="5"/>
            <w:vMerge w:val="restart"/>
            <w:tcBorders>
              <w:top w:val="single" w:color="auto" w:sz="4" w:space="0"/>
              <w:left w:val="single" w:color="auto" w:sz="4" w:space="0"/>
              <w:bottom w:val="single" w:color="auto" w:sz="4" w:space="0"/>
              <w:right w:val="single" w:color="auto" w:sz="4" w:space="0"/>
            </w:tcBorders>
            <w:noWrap/>
            <w:vAlign w:val="bottom"/>
          </w:tcPr>
          <w:p>
            <w:pPr>
              <w:widowControl/>
              <w:jc w:val="right"/>
              <w:rPr>
                <w:color w:val="000000"/>
                <w:kern w:val="0"/>
                <w:sz w:val="24"/>
              </w:rPr>
            </w:pPr>
          </w:p>
        </w:tc>
      </w:tr>
      <w:tr>
        <w:tblPrEx>
          <w:tblCellMar>
            <w:top w:w="0" w:type="dxa"/>
            <w:left w:w="108" w:type="dxa"/>
            <w:bottom w:w="0" w:type="dxa"/>
            <w:right w:w="108" w:type="dxa"/>
          </w:tblCellMar>
        </w:tblPrEx>
        <w:trPr>
          <w:trHeight w:val="31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color w:val="000000"/>
                <w:kern w:val="0"/>
                <w:sz w:val="24"/>
              </w:rPr>
            </w:pPr>
          </w:p>
        </w:tc>
        <w:tc>
          <w:tcPr>
            <w:tcW w:w="7280" w:type="dxa"/>
            <w:gridSpan w:val="5"/>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kern w:val="0"/>
                <w:sz w:val="24"/>
              </w:rPr>
            </w:pPr>
          </w:p>
        </w:tc>
      </w:tr>
      <w:tr>
        <w:tblPrEx>
          <w:tblCellMar>
            <w:top w:w="0" w:type="dxa"/>
            <w:left w:w="108" w:type="dxa"/>
            <w:bottom w:w="0" w:type="dxa"/>
            <w:right w:w="108" w:type="dxa"/>
          </w:tblCellMar>
        </w:tblPrEx>
        <w:trPr>
          <w:trHeight w:val="312"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color w:val="000000"/>
                <w:kern w:val="0"/>
                <w:sz w:val="24"/>
              </w:rPr>
            </w:pPr>
          </w:p>
        </w:tc>
        <w:tc>
          <w:tcPr>
            <w:tcW w:w="7280" w:type="dxa"/>
            <w:gridSpan w:val="5"/>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kern w:val="0"/>
                <w:sz w:val="24"/>
              </w:rPr>
            </w:pPr>
          </w:p>
        </w:tc>
      </w:tr>
      <w:tr>
        <w:tblPrEx>
          <w:tblCellMar>
            <w:top w:w="0" w:type="dxa"/>
            <w:left w:w="108" w:type="dxa"/>
            <w:bottom w:w="0" w:type="dxa"/>
            <w:right w:w="108" w:type="dxa"/>
          </w:tblCellMar>
        </w:tblPrEx>
        <w:trPr>
          <w:trHeight w:val="315" w:hRule="atLeast"/>
          <w:jc w:val="center"/>
        </w:trPr>
        <w:tc>
          <w:tcPr>
            <w:tcW w:w="1980" w:type="dxa"/>
            <w:vMerge w:val="continue"/>
            <w:tcBorders>
              <w:top w:val="nil"/>
              <w:left w:val="single" w:color="auto" w:sz="4" w:space="0"/>
              <w:bottom w:val="single" w:color="auto" w:sz="4" w:space="0"/>
              <w:right w:val="single" w:color="auto" w:sz="4" w:space="0"/>
            </w:tcBorders>
            <w:noWrap/>
            <w:vAlign w:val="center"/>
          </w:tcPr>
          <w:p>
            <w:pPr>
              <w:widowControl/>
              <w:jc w:val="left"/>
              <w:rPr>
                <w:color w:val="000000"/>
                <w:kern w:val="0"/>
                <w:sz w:val="24"/>
              </w:rPr>
            </w:pPr>
          </w:p>
        </w:tc>
        <w:tc>
          <w:tcPr>
            <w:tcW w:w="7280" w:type="dxa"/>
            <w:gridSpan w:val="5"/>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kern w:val="0"/>
                <w:sz w:val="24"/>
              </w:rPr>
            </w:pPr>
          </w:p>
        </w:tc>
      </w:tr>
    </w:tbl>
    <w:p/>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hint="eastAsia"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widowControl/>
        <w:wordWrap w:val="0"/>
        <w:spacing w:line="288" w:lineRule="auto"/>
        <w:ind w:firstLine="672" w:firstLineChars="210"/>
        <w:jc w:val="left"/>
        <w:rPr>
          <w:rFonts w:eastAsia="方正仿宋_GBK"/>
          <w:bCs/>
          <w:sz w:val="32"/>
          <w:szCs w:val="32"/>
        </w:rPr>
      </w:pPr>
    </w:p>
    <w:p>
      <w:pPr>
        <w:pBdr>
          <w:top w:val="single" w:color="auto" w:sz="12" w:space="1"/>
        </w:pBdr>
        <w:spacing w:line="440" w:lineRule="exact"/>
        <w:ind w:firstLine="280" w:firstLineChars="100"/>
        <w:rPr>
          <w:rFonts w:eastAsia="方正仿宋_GBK"/>
          <w:kern w:val="10"/>
          <w:sz w:val="28"/>
          <w:szCs w:val="28"/>
        </w:rPr>
      </w:pPr>
      <w:r>
        <w:rPr>
          <w:rFonts w:eastAsia="方正仿宋_GBK"/>
          <w:sz w:val="28"/>
          <w:szCs w:val="28"/>
        </w:rPr>
        <w:t>抄送：</w:t>
      </w:r>
      <w:r>
        <w:rPr>
          <w:rFonts w:eastAsia="方正仿宋_GBK"/>
          <w:kern w:val="10"/>
          <w:sz w:val="28"/>
          <w:szCs w:val="28"/>
        </w:rPr>
        <w:t>区委各部门，区人大常委会办公室，区政协办公室，区法院，</w:t>
      </w:r>
    </w:p>
    <w:p>
      <w:pPr>
        <w:pBdr>
          <w:top w:val="single" w:color="auto" w:sz="12" w:space="1"/>
        </w:pBdr>
        <w:spacing w:line="440" w:lineRule="exact"/>
        <w:ind w:firstLine="1120" w:firstLineChars="400"/>
        <w:rPr>
          <w:rFonts w:eastAsia="方正仿宋_GBK"/>
          <w:kern w:val="10"/>
          <w:sz w:val="28"/>
          <w:szCs w:val="28"/>
        </w:rPr>
      </w:pPr>
      <w:r>
        <w:rPr>
          <w:rFonts w:eastAsia="方正仿宋_GBK"/>
          <w:kern w:val="10"/>
          <w:sz w:val="28"/>
          <w:szCs w:val="28"/>
        </w:rPr>
        <w:t>区检察院，区人武部，各群众团体</w:t>
      </w:r>
      <w:r>
        <w:rPr>
          <w:rFonts w:eastAsia="方正仿宋_GBK"/>
          <w:sz w:val="28"/>
          <w:szCs w:val="28"/>
        </w:rPr>
        <w:t>。</w:t>
      </w:r>
    </w:p>
    <w:p>
      <w:pPr>
        <w:pBdr>
          <w:top w:val="single" w:color="auto" w:sz="6" w:space="1"/>
        </w:pBdr>
        <w:tabs>
          <w:tab w:val="left" w:pos="1456"/>
        </w:tabs>
        <w:spacing w:line="440" w:lineRule="exact"/>
        <w:ind w:firstLine="260" w:firstLineChars="100"/>
        <w:rPr>
          <w:rFonts w:eastAsia="方正仿宋_GBK"/>
          <w:sz w:val="28"/>
          <w:szCs w:val="28"/>
        </w:rPr>
      </w:pPr>
      <w:r>
        <w:rPr>
          <w:rFonts w:eastAsia="方正仿宋_GBK"/>
          <w:spacing w:val="-10"/>
          <w:sz w:val="28"/>
          <w:szCs w:val="28"/>
        </w:rPr>
        <w:t>鼓楼区人民政府办公室</w:t>
      </w:r>
      <w:r>
        <w:rPr>
          <w:rFonts w:eastAsia="方正仿宋_GBK"/>
          <w:sz w:val="28"/>
          <w:szCs w:val="28"/>
        </w:rPr>
        <w:t>　　　　              2020年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4</w:t>
      </w:r>
      <w:r>
        <w:rPr>
          <w:rFonts w:eastAsia="方正仿宋_GBK"/>
          <w:sz w:val="28"/>
          <w:szCs w:val="28"/>
        </w:rPr>
        <w:t>日印发</w:t>
      </w:r>
    </w:p>
    <w:p>
      <w:pPr>
        <w:pBdr>
          <w:top w:val="single" w:color="auto" w:sz="12" w:space="1"/>
        </w:pBdr>
        <w:spacing w:line="240" w:lineRule="exact"/>
        <w:rPr>
          <w:rFonts w:eastAsia="方正仿宋_GBK"/>
          <w:szCs w:val="32"/>
        </w:rPr>
      </w:pPr>
    </w:p>
    <w:p>
      <w:pPr>
        <w:widowControl/>
        <w:spacing w:line="240" w:lineRule="exact"/>
        <w:ind w:firstLine="672" w:firstLineChars="210"/>
        <w:jc w:val="left"/>
        <w:rPr>
          <w:rFonts w:eastAsia="方正仿宋_GBK"/>
          <w:bCs/>
          <w:sz w:val="32"/>
          <w:szCs w:val="32"/>
        </w:rPr>
      </w:pPr>
    </w:p>
    <w:sectPr>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3283463"/>
      <w:docPartObj>
        <w:docPartGallery w:val="autotext"/>
      </w:docPartObj>
    </w:sdtPr>
    <w:sdtEndPr>
      <w:rPr>
        <w:sz w:val="28"/>
        <w:szCs w:val="28"/>
      </w:rPr>
    </w:sdtEndPr>
    <w:sdtContent>
      <w:p>
        <w:pPr>
          <w:pStyle w:val="2"/>
          <w:jc w:val="center"/>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7 -</w:t>
        </w:r>
        <w:r>
          <w:rPr>
            <w:rFonts w:hint="eastAsia" w:asciiTheme="minorEastAsia" w:hAnsiTheme="minorEastAsia" w:eastAsiaTheme="minorEastAsia" w:cstheme="minorEastAsia"/>
            <w:sz w:val="28"/>
            <w:szCs w:val="28"/>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09C6"/>
    <w:rsid w:val="00013B8B"/>
    <w:rsid w:val="0005118B"/>
    <w:rsid w:val="00063CF6"/>
    <w:rsid w:val="000802F2"/>
    <w:rsid w:val="0008111F"/>
    <w:rsid w:val="000D55FC"/>
    <w:rsid w:val="0011088D"/>
    <w:rsid w:val="00151493"/>
    <w:rsid w:val="00174B4C"/>
    <w:rsid w:val="001829CF"/>
    <w:rsid w:val="001920C9"/>
    <w:rsid w:val="001D0C11"/>
    <w:rsid w:val="001D115F"/>
    <w:rsid w:val="001E5DC3"/>
    <w:rsid w:val="001E68D8"/>
    <w:rsid w:val="001F1910"/>
    <w:rsid w:val="0022768C"/>
    <w:rsid w:val="00230CD9"/>
    <w:rsid w:val="0025335F"/>
    <w:rsid w:val="002535CB"/>
    <w:rsid w:val="00254373"/>
    <w:rsid w:val="0026728F"/>
    <w:rsid w:val="002716A5"/>
    <w:rsid w:val="00275426"/>
    <w:rsid w:val="002904D9"/>
    <w:rsid w:val="002B18AC"/>
    <w:rsid w:val="002B1D44"/>
    <w:rsid w:val="002C7964"/>
    <w:rsid w:val="0030054F"/>
    <w:rsid w:val="00300CBC"/>
    <w:rsid w:val="00360D4F"/>
    <w:rsid w:val="00364B1B"/>
    <w:rsid w:val="00364E59"/>
    <w:rsid w:val="0038556C"/>
    <w:rsid w:val="003C344F"/>
    <w:rsid w:val="003C7F85"/>
    <w:rsid w:val="004026C8"/>
    <w:rsid w:val="00416142"/>
    <w:rsid w:val="004C7C06"/>
    <w:rsid w:val="004D495C"/>
    <w:rsid w:val="0050673D"/>
    <w:rsid w:val="00520C2A"/>
    <w:rsid w:val="00531FBD"/>
    <w:rsid w:val="00561504"/>
    <w:rsid w:val="00590F04"/>
    <w:rsid w:val="005D39C1"/>
    <w:rsid w:val="0066272D"/>
    <w:rsid w:val="006A4F20"/>
    <w:rsid w:val="006E7075"/>
    <w:rsid w:val="007139C0"/>
    <w:rsid w:val="007165E2"/>
    <w:rsid w:val="007176E6"/>
    <w:rsid w:val="007226B9"/>
    <w:rsid w:val="00727FB6"/>
    <w:rsid w:val="00733753"/>
    <w:rsid w:val="00744588"/>
    <w:rsid w:val="00757DC9"/>
    <w:rsid w:val="00796670"/>
    <w:rsid w:val="007A2B5C"/>
    <w:rsid w:val="007C1B84"/>
    <w:rsid w:val="007D781F"/>
    <w:rsid w:val="007E204E"/>
    <w:rsid w:val="007E66E5"/>
    <w:rsid w:val="00801515"/>
    <w:rsid w:val="00812358"/>
    <w:rsid w:val="00830635"/>
    <w:rsid w:val="00840785"/>
    <w:rsid w:val="008548D8"/>
    <w:rsid w:val="00877139"/>
    <w:rsid w:val="00885832"/>
    <w:rsid w:val="008863CB"/>
    <w:rsid w:val="00890270"/>
    <w:rsid w:val="008B7198"/>
    <w:rsid w:val="008C2D5C"/>
    <w:rsid w:val="008D1674"/>
    <w:rsid w:val="008F0763"/>
    <w:rsid w:val="00937C88"/>
    <w:rsid w:val="00970818"/>
    <w:rsid w:val="009848E4"/>
    <w:rsid w:val="009A2383"/>
    <w:rsid w:val="009D0DAA"/>
    <w:rsid w:val="009F5C28"/>
    <w:rsid w:val="00A016C5"/>
    <w:rsid w:val="00A02640"/>
    <w:rsid w:val="00A336AF"/>
    <w:rsid w:val="00A50533"/>
    <w:rsid w:val="00A52B70"/>
    <w:rsid w:val="00A70BF6"/>
    <w:rsid w:val="00A77F89"/>
    <w:rsid w:val="00A90CBE"/>
    <w:rsid w:val="00AA3796"/>
    <w:rsid w:val="00AB0C98"/>
    <w:rsid w:val="00AD796C"/>
    <w:rsid w:val="00B06950"/>
    <w:rsid w:val="00B3402C"/>
    <w:rsid w:val="00B610E6"/>
    <w:rsid w:val="00BB63B8"/>
    <w:rsid w:val="00BD74BD"/>
    <w:rsid w:val="00BE64AB"/>
    <w:rsid w:val="00C003A6"/>
    <w:rsid w:val="00C12B9D"/>
    <w:rsid w:val="00C4266B"/>
    <w:rsid w:val="00C45449"/>
    <w:rsid w:val="00C53CA6"/>
    <w:rsid w:val="00CB1CD1"/>
    <w:rsid w:val="00D201BB"/>
    <w:rsid w:val="00D74A86"/>
    <w:rsid w:val="00DB4D07"/>
    <w:rsid w:val="00DC189E"/>
    <w:rsid w:val="00E8015F"/>
    <w:rsid w:val="00EE5369"/>
    <w:rsid w:val="00F01355"/>
    <w:rsid w:val="00F02EF3"/>
    <w:rsid w:val="00F03F87"/>
    <w:rsid w:val="00F32528"/>
    <w:rsid w:val="00F44C31"/>
    <w:rsid w:val="00F71D96"/>
    <w:rsid w:val="00F909C6"/>
    <w:rsid w:val="00FA21EA"/>
    <w:rsid w:val="00FB0796"/>
    <w:rsid w:val="00FB1148"/>
    <w:rsid w:val="00FB3769"/>
    <w:rsid w:val="00FC1626"/>
    <w:rsid w:val="00FC385B"/>
    <w:rsid w:val="00FD0C78"/>
    <w:rsid w:val="00FD7E27"/>
    <w:rsid w:val="00FF48DE"/>
    <w:rsid w:val="1F4A1C11"/>
    <w:rsid w:val="30840E65"/>
    <w:rsid w:val="6ED45DF1"/>
    <w:rsid w:val="79B90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65F81-48DC-4AD5-A217-7487333CA6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475</Words>
  <Characters>2711</Characters>
  <Lines>22</Lines>
  <Paragraphs>6</Paragraphs>
  <TotalTime>58</TotalTime>
  <ScaleCrop>false</ScaleCrop>
  <LinksUpToDate>false</LinksUpToDate>
  <CharactersWithSpaces>3180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2020-09-21T03:22:00Z</dcterms:created>
  <dc:creator>hp</dc:creator>
  <cp:lastModifiedBy>我在阳光下，尖叫、</cp:lastModifiedBy>
  <cp:lastPrinted>2020-11-25T08:31:00Z</cp:lastPrinted>
  <dcterms:modified xsi:type="dcterms:W3CDTF">2020-12-08T01:40:14Z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