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4E" w:rsidRDefault="004A5019">
      <w:pPr>
        <w:overflowPunct w:val="0"/>
        <w:topLinePunct/>
        <w:adjustRightInd w:val="0"/>
        <w:snapToGrid w:val="0"/>
        <w:spacing w:line="560" w:lineRule="exact"/>
        <w:rPr>
          <w:rFonts w:eastAsia="方正黑体_GBK" w:cs="方正黑体_GBK"/>
          <w:color w:val="000000"/>
          <w:kern w:val="0"/>
          <w:szCs w:val="32"/>
          <w:lang w:bidi="ar"/>
        </w:rPr>
      </w:pPr>
      <w:r>
        <w:rPr>
          <w:rFonts w:eastAsia="方正黑体_GBK" w:cs="方正黑体_GBK"/>
          <w:color w:val="000000"/>
          <w:kern w:val="0"/>
          <w:szCs w:val="32"/>
          <w:lang w:bidi="ar"/>
        </w:rPr>
        <w:t>附件</w:t>
      </w:r>
      <w:r w:rsidR="00AD6D86">
        <w:rPr>
          <w:rFonts w:eastAsia="方正黑体_GBK" w:cs="方正黑体_GBK" w:hint="eastAsia"/>
          <w:color w:val="000000"/>
          <w:kern w:val="0"/>
          <w:szCs w:val="32"/>
          <w:lang w:bidi="ar"/>
        </w:rPr>
        <w:t>2</w:t>
      </w:r>
    </w:p>
    <w:p w:rsidR="0069354E" w:rsidRDefault="004A5019" w:rsidP="004A5019">
      <w:pPr>
        <w:overflowPunct w:val="0"/>
        <w:topLinePunct/>
        <w:adjustRightInd w:val="0"/>
        <w:snapToGrid w:val="0"/>
        <w:spacing w:afterLines="100" w:after="579" w:line="600" w:lineRule="exact"/>
        <w:jc w:val="center"/>
        <w:rPr>
          <w:rFonts w:eastAsia="方正小标宋_GBK" w:cs="Times New Roman"/>
          <w:sz w:val="44"/>
          <w:szCs w:val="44"/>
        </w:rPr>
      </w:pPr>
      <w:bookmarkStart w:id="0" w:name="_GoBack"/>
      <w:r>
        <w:rPr>
          <w:rFonts w:eastAsia="方正小标宋_GBK" w:cs="Times New Roman" w:hint="eastAsia"/>
          <w:sz w:val="44"/>
          <w:szCs w:val="44"/>
        </w:rPr>
        <w:t>江苏省社会团体评估指标</w:t>
      </w:r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850"/>
        <w:gridCol w:w="1226"/>
        <w:gridCol w:w="6296"/>
      </w:tblGrid>
      <w:tr w:rsidR="0069354E">
        <w:trPr>
          <w:trHeight w:val="567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121"/>
                <w:rFonts w:ascii="Times New Roman" w:hAnsi="Times New Roman" w:hint="default"/>
                <w:color w:val="000000" w:themeColor="text1"/>
                <w:lang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黑体_GBK" w:cs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 w:cs="方正黑体_GBK" w:hint="eastAsia"/>
                <w:color w:val="000000" w:themeColor="text1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黑体_GBK" w:cs="方正黑体_GBK"/>
                <w:color w:val="000000" w:themeColor="text1"/>
                <w:sz w:val="24"/>
                <w:szCs w:val="24"/>
              </w:rPr>
            </w:pPr>
            <w:r>
              <w:rPr>
                <w:rFonts w:eastAsia="方正黑体_GBK" w:cs="方正黑体_GBK" w:hint="eastAsia"/>
                <w:color w:val="000000" w:themeColor="text1"/>
                <w:kern w:val="0"/>
                <w:sz w:val="24"/>
                <w:szCs w:val="24"/>
                <w:lang w:bidi="ar"/>
              </w:rPr>
              <w:t>指标说明</w:t>
            </w:r>
          </w:p>
        </w:tc>
      </w:tr>
      <w:tr w:rsidR="0069354E">
        <w:trPr>
          <w:trHeight w:val="29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党建工作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党的组织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设立党组织（单建、联建；实体型、功能型）（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党组织班子成员和社会组织党员管理层人员双向进入、交叉任职（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党组织书记由社会组织负责人担任得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分，其他人员担任得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注：党组织应建未建的，不予评为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4A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（含）以上等级。</w:t>
            </w:r>
          </w:p>
        </w:tc>
      </w:tr>
      <w:tr w:rsidR="0069354E">
        <w:trPr>
          <w:trHeight w:val="33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党的工作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8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6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加强党员教育管理，落实党的基本组织生活制度，各项活动记录内容完整、格式规范</w:t>
            </w:r>
            <w:r>
              <w:rPr>
                <w:rStyle w:val="font16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4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16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注：包括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“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三会一课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”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、主题党日和谈心谈话等制度。实体型党支部还需要落实组织生活会、民主评议党员等制度。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落实意识形态责任制并建立相关制度（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6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落实党风廉政建设制度，党组织对社会组织重大事项决策、重要业务活动等提出意见（</w:t>
            </w:r>
            <w:r>
              <w:rPr>
                <w:rStyle w:val="font4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16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注：党组织负责人有违规违纪行为的，不予评为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3A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（含）以上等级；未开展党的工作和活动的，不予评为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4A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（含）以上等级。</w:t>
            </w:r>
          </w:p>
        </w:tc>
      </w:tr>
      <w:tr w:rsidR="0069354E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基础条件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81"/>
                <w:rFonts w:eastAsia="等线"/>
                <w:color w:val="000000" w:themeColor="text1"/>
                <w:lang w:bidi="ar"/>
              </w:rPr>
              <w:t>*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登记备案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按规定办理登记（成立登记、变更登记）和备案（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登记事项：名称、业务范围、住所、注册资金、法定代表人、业务主管单位。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备案事项：负责人、理事、监事，印章（单位、财务、法定代表人）、银行账户。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71"/>
                <w:rFonts w:ascii="Times New Roman" w:hAnsi="Times New Roman"/>
                <w:color w:val="000000" w:themeColor="text1"/>
                <w:lang w:bidi="ar"/>
              </w:rPr>
            </w:pPr>
            <w:r>
              <w:rPr>
                <w:rStyle w:val="font171"/>
                <w:rFonts w:ascii="Times New Roman" w:hAnsi="Times New Roman"/>
                <w:color w:val="000000" w:themeColor="text1"/>
                <w:lang w:bidi="ar"/>
              </w:rPr>
              <w:t>注：组织需提供理事、监事名单。以上各项，有</w:t>
            </w:r>
            <w:r>
              <w:rPr>
                <w:rStyle w:val="font171"/>
                <w:rFonts w:ascii="Times New Roman" w:hAnsi="Times New Roman"/>
                <w:color w:val="000000" w:themeColor="text1"/>
                <w:lang w:bidi="ar"/>
              </w:rPr>
              <w:t>1</w:t>
            </w:r>
            <w:r>
              <w:rPr>
                <w:rStyle w:val="font171"/>
                <w:rFonts w:ascii="Times New Roman" w:hAnsi="Times New Roman"/>
                <w:color w:val="000000" w:themeColor="text1"/>
                <w:lang w:bidi="ar"/>
              </w:rPr>
              <w:t>项未按规定办理扣</w:t>
            </w:r>
            <w:r>
              <w:rPr>
                <w:rStyle w:val="font171"/>
                <w:rFonts w:ascii="Times New Roman" w:hAnsi="Times New Roman"/>
                <w:color w:val="000000" w:themeColor="text1"/>
                <w:lang w:bidi="ar"/>
              </w:rPr>
              <w:t>1</w:t>
            </w:r>
            <w:r>
              <w:rPr>
                <w:rStyle w:val="font171"/>
                <w:rFonts w:ascii="Times New Roman" w:hAnsi="Times New Roman"/>
                <w:color w:val="000000" w:themeColor="text1"/>
                <w:lang w:bidi="ar"/>
              </w:rPr>
              <w:t>分，扣完为止。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按民政部门及章程示范文本要求，将党的建设及社会主义核心价值观相关内容规范完整写入章程（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1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81"/>
                <w:rFonts w:eastAsia="等线"/>
                <w:color w:val="000000" w:themeColor="text1"/>
                <w:lang w:bidi="ar"/>
              </w:rPr>
              <w:t>*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年检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6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按规定年检（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181"/>
                <w:rFonts w:ascii="Times New Roman" w:hAnsi="Times New Roman" w:hint="default"/>
                <w:color w:val="000000" w:themeColor="text1"/>
                <w:lang w:bidi="ar"/>
              </w:rPr>
              <w:t>申报评估年度前两年年检合格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年末净资产不低于注册资金（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26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内部治理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机构建设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8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理事会设立、制度建设及履职情况（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理事会人员构成符合规定，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项不满足扣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分，扣完为止。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监事（会）设立及履职情况（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按规定设立监事（会），设立监事会得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分，</w:t>
            </w:r>
            <w:proofErr w:type="gramStart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仅设立</w:t>
            </w:r>
            <w:proofErr w:type="gramEnd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监事得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0.5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分；监事（会）制度健全并按规定履职，得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内设机构设立运转情况（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设立秘书处、办公室等内设机构，且职责明确、运转协调。</w:t>
            </w:r>
          </w:p>
        </w:tc>
      </w:tr>
      <w:tr w:rsidR="0069354E">
        <w:trPr>
          <w:trHeight w:val="18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会员、会费管理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5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会员管理（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制定包括会员入会退会、会员档案、会员联络、会员服务、权利义务在内的会员管理制度；依规发展并管理会员。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会费管理（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制定会费管理制度并经会员（代表）大会通过；依规收取会费；依规使用会费。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注：未收取会费的不扣分。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内部治理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制度建设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建立健全各项制度且能够规范执行，包括：内部矛盾化解、重大事项报告、财务、资产、人事、档案、印章、信息公开等制度。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注：以上各项，缺</w:t>
            </w:r>
            <w:r>
              <w:rPr>
                <w:rStyle w:val="font141"/>
                <w:rFonts w:eastAsia="方正仿宋_GBK"/>
                <w:color w:val="000000" w:themeColor="text1"/>
                <w:lang w:bidi="ar"/>
              </w:rPr>
              <w:t>1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项扣</w:t>
            </w:r>
            <w:r>
              <w:rPr>
                <w:rStyle w:val="font141"/>
                <w:rFonts w:eastAsia="方正仿宋_GBK"/>
                <w:color w:val="000000" w:themeColor="text1"/>
                <w:lang w:bidi="ar"/>
              </w:rPr>
              <w:t>0.5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分，扣完为止。</w:t>
            </w:r>
          </w:p>
        </w:tc>
      </w:tr>
      <w:tr w:rsidR="0069354E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人力资源管理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6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*1.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负责人管理（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负责人届次、年龄符合规定；秘书长专职；领导干部兼职符合规定并履行报批手续，且未在社会团体领取报酬。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专职工作人员管理（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专职工作人员满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5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人（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分），每少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人扣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0.2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spacing w:val="-6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spacing w:val="-6"/>
                <w:lang w:bidi="ar"/>
              </w:rPr>
              <w:t>专职工作人员人员结构合理，</w:t>
            </w:r>
            <w:r>
              <w:rPr>
                <w:rStyle w:val="font61"/>
                <w:rFonts w:eastAsia="等线"/>
                <w:color w:val="000000" w:themeColor="text1"/>
                <w:spacing w:val="-6"/>
                <w:lang w:bidi="ar"/>
              </w:rPr>
              <w:t>50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spacing w:val="-6"/>
                <w:lang w:bidi="ar"/>
              </w:rPr>
              <w:t>周岁以下占</w:t>
            </w:r>
            <w:r>
              <w:rPr>
                <w:rStyle w:val="font61"/>
                <w:rFonts w:eastAsia="等线"/>
                <w:color w:val="000000" w:themeColor="text1"/>
                <w:spacing w:val="-6"/>
                <w:lang w:bidi="ar"/>
              </w:rPr>
              <w:t>50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spacing w:val="-6"/>
                <w:lang w:bidi="ar"/>
              </w:rPr>
              <w:t>%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spacing w:val="-6"/>
                <w:lang w:bidi="ar"/>
              </w:rPr>
              <w:t>以上、本科以上学历者占</w:t>
            </w:r>
            <w:r>
              <w:rPr>
                <w:rStyle w:val="font61"/>
                <w:rFonts w:eastAsia="等线"/>
                <w:color w:val="000000" w:themeColor="text1"/>
                <w:spacing w:val="-6"/>
                <w:lang w:bidi="ar"/>
              </w:rPr>
              <w:t>50</w:t>
            </w:r>
            <w:r>
              <w:rPr>
                <w:rStyle w:val="font61"/>
                <w:rFonts w:eastAsia="等线" w:hint="eastAsia"/>
                <w:color w:val="000000" w:themeColor="text1"/>
                <w:spacing w:val="-6"/>
                <w:lang w:bidi="ar"/>
              </w:rPr>
              <w:t>%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spacing w:val="-6"/>
                <w:lang w:bidi="ar"/>
              </w:rPr>
              <w:t>以上（均满足得</w:t>
            </w:r>
            <w:r>
              <w:rPr>
                <w:rStyle w:val="font61"/>
                <w:rFonts w:eastAsia="等线"/>
                <w:color w:val="000000" w:themeColor="text1"/>
                <w:spacing w:val="-6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spacing w:val="-6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按相关规定参加法律法规、业务培训（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76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注：专职工作人员指建立劳动关系并购买社保的工作人员。返聘、劳动关系在其他单位的工作人员，按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50%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得分。</w:t>
            </w:r>
          </w:p>
        </w:tc>
      </w:tr>
      <w:tr w:rsidR="0069354E">
        <w:trPr>
          <w:trHeight w:val="20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财务保障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5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严格执行《民间非营利组织会计制度》（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规范设置会计科目、账册、凭单、内外部报表、记账规范、会计核算规范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注：以上各项，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项不符合扣</w:t>
            </w:r>
            <w:r>
              <w:rPr>
                <w:rStyle w:val="font14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分，扣完为止。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有专职的专业会计人员（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会计核算实行电算化（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会计档案管理规范（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2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财务管理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6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编制年度预算且严格执行（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经费来源和资金使用符合章程规定（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注：经费来源和资金使用不符合法规和章程规定的，不予评为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3A</w:t>
            </w: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（含）以上等级。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按规定办理税务登记和申报（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规范使用各类票据（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5.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资产管理合</w:t>
            </w:r>
            <w:proofErr w:type="gramStart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规</w:t>
            </w:r>
            <w:proofErr w:type="gramEnd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6.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按规定向会员大会、理事会报告社会组织财务状况（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内部治理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监督审计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换届、离任审计完整、合</w:t>
            </w:r>
            <w:proofErr w:type="gramStart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规</w:t>
            </w:r>
            <w:proofErr w:type="gramEnd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注：未发生换届、法定代表人离任，不扣分。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对经审计发现的问题按规定及时整改（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8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Fonts w:eastAsia="方正仿宋_GBK" w:cs="方正仿宋_GBK" w:hint="eastAsia"/>
                <w:color w:val="000000" w:themeColor="text1"/>
                <w:kern w:val="0"/>
                <w:sz w:val="24"/>
                <w:szCs w:val="24"/>
                <w:lang w:bidi="ar"/>
              </w:rPr>
              <w:t>工作绩效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服务国家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6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参加政府（部门）听证会、座谈会或参与政府主导相关课题研究（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参与制定国家、省级政策。参与制定国家政策得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分，省级政策得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参与制定国家、行业、地方标准或制定团体标准且在全国标准化信息公共服务平台发布（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结合本社会组织自身优势特长推动会员参与乡村振兴、对口支援协作、长江经济带发展、长三角一体化发展等国家战略及重大决策部署，并主导实施项目的（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1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服务社会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通过各</w:t>
            </w:r>
            <w:proofErr w:type="gramStart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类方式</w:t>
            </w:r>
            <w:proofErr w:type="gramEnd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组织专业人员服务人民群众（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通过宣传普及、展览展示等方式向社会展现发展成果，且未违规开展评比达标表彰（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1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服务会员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6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开展各类业务交流活动（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搭建交流平台，提供信息交换、共享服务（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提供技术、经济、管理、法律等方面咨询服务（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20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信息公开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6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面向社会公开下列内容：法人登记证书；经核准的章程；组织机构设置；负责人、理事会及监事会成员名单；接受国家拨款或者社会捐赠、资助的资金使用情况；接受政府职能委托、授权、转移情况；收费标准（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面向会员公开下列内容：会员（会员代表）大会、理事会（常务理事会）、监事会的决议；半年、年度财务报告；会员名册；理事会、监事会年度工作报告；会费收取与使用管理情况；其他重大活动情况（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222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工作绩效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特色工作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适用于学术性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社会团体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方正仿宋_GBK"/>
                <w:color w:val="000000" w:themeColor="text1"/>
                <w:lang w:bidi="ar"/>
              </w:rPr>
              <w:t>14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制定学术规划，对学科未来发展有较强的指导作用（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组织召开学术会议，相关论文、资料汇编成册（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利用本社会组织网站或新媒体平台开展学术交流（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有定期出版物（有国内统一刊号或内部资料性印刷品准印证）（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5.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提供学术成果（科技成果）评价服务（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6.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有规范的学术自律制度并实施（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7.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组织专业人员开展科学普及活动（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95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特色工作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适用于行业性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社会团体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方正仿宋_GBK"/>
                <w:color w:val="000000" w:themeColor="text1"/>
                <w:lang w:bidi="ar"/>
              </w:rPr>
              <w:t>14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建立重大突发公共事件参与机制并发挥作用（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组织开展或配合有关部门开展打击假冒伪劣，维护消费者权益活动（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20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8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201"/>
                <w:rFonts w:ascii="Times New Roman" w:hAnsi="Times New Roman" w:hint="default"/>
                <w:color w:val="000000" w:themeColor="text1"/>
                <w:lang w:bidi="ar"/>
              </w:rPr>
              <w:t>制定行业公约或自律规约，依法保护各类经营主体平等准入权利（</w:t>
            </w:r>
            <w:r>
              <w:rPr>
                <w:rStyle w:val="font8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20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组织开展资质认证、新产品鉴定、事故认定工作（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5.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常态化、制度化开展相关业务活动（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6.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制定行业争议处理规则，建立行业申诉应诉机制，参与社会纠纷和矛盾化解（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7.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设立新闻发言人并举行新闻发布会</w:t>
            </w:r>
            <w:r>
              <w:rPr>
                <w:rStyle w:val="font151"/>
                <w:rFonts w:ascii="Times New Roman" w:eastAsia="方正仿宋_GBK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151"/>
                <w:rFonts w:ascii="Times New Roman" w:eastAsia="方正仿宋_GBK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9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特色工作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适用于专业性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社会团体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组织研讨会、考察、赛事等活动（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在扶贫助困、文化保护、社会救助、环境治理、科学普及、全民健身等领域开展公益活动（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建立重大突发公共事件参与机制并发挥作用（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建立网站、刊物、公众号等宣传载体，并通过媒体开展有效宣传服务（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5.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制定详细规范的职业道德准则，并推动实施（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6.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制定详细完善的执业准则，并推动实施（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60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特色工作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适用于联合性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社会团体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14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建立重大突发公共事件参与机制并发挥作用（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开展的项目社会效益明显，得到媒体宣传报道（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3.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制定自律公约或准则，开展自律性管理活动（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4.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建立健全项目管理制度，规范制定项目运作方案并签订合同（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lastRenderedPageBreak/>
              <w:t>5.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建设网站、公众号等媒介并进行运维、宣传（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6.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组织与其他社会组织开展合作交流（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7.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组织或参与扶贫助困、文化保护、社会救助、环境治理、科学普及等</w:t>
            </w:r>
            <w:proofErr w:type="gramStart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领域公益</w:t>
            </w:r>
            <w:proofErr w:type="gramEnd"/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活动（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8.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倡导会员履行社会责任，利用相关领域优势服务社会公众（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8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社会评价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会员评价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对管理状况、综合影响力的评价，评价内容包括对召开会员（代表）大会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/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（常务）理事会情况、民主选举情况、民主办会情况、信息公开、接受会员监督、会费管理等内容的评价（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2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10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81"/>
                <w:rFonts w:eastAsia="等线"/>
                <w:color w:val="000000" w:themeColor="text1"/>
                <w:lang w:bidi="ar"/>
              </w:rPr>
              <w:t>*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业务主管单位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评价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由业务主管单位对社会团体工作进行总体评价（</w:t>
            </w:r>
            <w:r>
              <w:rPr>
                <w:rStyle w:val="font61"/>
                <w:rFonts w:eastAsia="等线" w:hint="eastAsia"/>
                <w:color w:val="000000" w:themeColor="text1"/>
                <w:lang w:bidi="ar"/>
              </w:rPr>
              <w:t>3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方正仿宋_GBK" w:cs="方正仿宋_GBK"/>
                <w:color w:val="000000" w:themeColor="text1"/>
                <w:sz w:val="24"/>
                <w:szCs w:val="24"/>
              </w:rPr>
            </w:pPr>
            <w:r>
              <w:rPr>
                <w:rStyle w:val="font131"/>
                <w:rFonts w:ascii="Times New Roman" w:hAnsi="Times New Roman" w:hint="default"/>
                <w:color w:val="000000" w:themeColor="text1"/>
                <w:lang w:bidi="ar"/>
              </w:rPr>
              <w:t>注：已脱钩或直接登记的社会团体，由党建工作机构（或其授权的行业党委、属地党组织）进行评价。</w:t>
            </w:r>
          </w:p>
        </w:tc>
      </w:tr>
      <w:tr w:rsidR="0069354E">
        <w:trPr>
          <w:trHeight w:val="9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等线" w:cs="Times New Roman"/>
                <w:color w:val="000000" w:themeColor="text1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69354E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品牌建设情况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1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1.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社会团体主导的品牌（合作、科研）项目取得国家级、省级奖励（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0.5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等线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61"/>
                <w:rFonts w:eastAsia="等线"/>
                <w:color w:val="000000" w:themeColor="text1"/>
                <w:lang w:bidi="ar"/>
              </w:rPr>
              <w:t>2.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注册商标或权威媒体对于社会团体服务品牌的正面报道（</w:t>
            </w:r>
            <w:r>
              <w:rPr>
                <w:rStyle w:val="font61"/>
                <w:rFonts w:eastAsia="等线"/>
                <w:color w:val="000000" w:themeColor="text1"/>
                <w:lang w:bidi="ar"/>
              </w:rPr>
              <w:t>0.5</w:t>
            </w:r>
            <w:r>
              <w:rPr>
                <w:rStyle w:val="font71"/>
                <w:rFonts w:ascii="Times New Roman" w:hAnsi="Times New Roman" w:hint="default"/>
                <w:color w:val="000000" w:themeColor="text1"/>
                <w:lang w:bidi="ar"/>
              </w:rPr>
              <w:t>分）</w:t>
            </w:r>
          </w:p>
        </w:tc>
      </w:tr>
      <w:tr w:rsidR="0069354E">
        <w:trPr>
          <w:trHeight w:val="454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jc w:val="left"/>
              <w:textAlignment w:val="center"/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注：</w:t>
            </w: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1.</w:t>
            </w: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加</w:t>
            </w:r>
            <w:r>
              <w:rPr>
                <w:rStyle w:val="font81"/>
                <w:rFonts w:eastAsia="方正楷体_GBK"/>
                <w:color w:val="000000" w:themeColor="text1"/>
                <w:lang w:bidi="ar"/>
              </w:rPr>
              <w:t>*</w:t>
            </w: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项指标无需社会组织提供材料；</w:t>
            </w:r>
          </w:p>
          <w:p w:rsidR="0069354E" w:rsidRDefault="004A5019">
            <w:pPr>
              <w:overflowPunct w:val="0"/>
              <w:topLinePunct/>
              <w:adjustRightInd w:val="0"/>
              <w:snapToGrid w:val="0"/>
              <w:spacing w:line="280" w:lineRule="exact"/>
              <w:ind w:firstLineChars="200" w:firstLine="472"/>
              <w:jc w:val="left"/>
              <w:textAlignment w:val="center"/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</w:pP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2.</w:t>
            </w: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指标第</w:t>
            </w: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16</w:t>
            </w:r>
            <w:r>
              <w:rPr>
                <w:rStyle w:val="font91"/>
                <w:rFonts w:ascii="Times New Roman" w:hAnsi="Times New Roman" w:hint="default"/>
                <w:color w:val="000000" w:themeColor="text1"/>
                <w:lang w:bidi="ar"/>
              </w:rPr>
              <w:t>项分为四类，每一类指标适用于对应类型的社会团体。</w:t>
            </w:r>
          </w:p>
        </w:tc>
      </w:tr>
    </w:tbl>
    <w:p w:rsidR="0069354E" w:rsidRDefault="0069354E"/>
    <w:sectPr w:rsidR="0069354E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445846DB-059C-48B1-8CC3-68A607D3630B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2" w:subsetted="1" w:fontKey="{177870DE-2CAB-4C5E-868A-1BBDC657FFEF}"/>
    <w:embedBold r:id="rId3" w:subsetted="1" w:fontKey="{87D9F0C7-1F44-45CC-B773-427DAEDA17B2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EA32801D-8EDF-4206-8966-4D58D7F00F09}"/>
    <w:embedBold r:id="rId5" w:subsetted="1" w:fontKey="{376E4FEB-81B7-4BA3-838F-DCC70D1B13B3}"/>
  </w:font>
  <w:font w:name="方正楷体_GBK">
    <w:charset w:val="86"/>
    <w:family w:val="script"/>
    <w:pitch w:val="fixed"/>
    <w:sig w:usb0="00000001" w:usb1="080E0000" w:usb2="00000010" w:usb3="00000000" w:csb0="00040000" w:csb1="00000000"/>
    <w:embedRegular r:id="rId6" w:subsetted="1" w:fontKey="{D9865C9D-27B8-4B81-A85D-F084FCCD40D0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7" w:subsetted="1" w:fontKey="{799A8106-1777-471B-BB90-FEE0B499799A}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57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90"/>
    <w:rsid w:val="000A5C91"/>
    <w:rsid w:val="000B7CFA"/>
    <w:rsid w:val="000D249C"/>
    <w:rsid w:val="001D377D"/>
    <w:rsid w:val="00286CA1"/>
    <w:rsid w:val="0040775E"/>
    <w:rsid w:val="00453196"/>
    <w:rsid w:val="004629B5"/>
    <w:rsid w:val="004A5019"/>
    <w:rsid w:val="00500A77"/>
    <w:rsid w:val="00504D49"/>
    <w:rsid w:val="005A1F7B"/>
    <w:rsid w:val="00602F93"/>
    <w:rsid w:val="00637E3B"/>
    <w:rsid w:val="00646D50"/>
    <w:rsid w:val="00675390"/>
    <w:rsid w:val="0069354E"/>
    <w:rsid w:val="0069685C"/>
    <w:rsid w:val="006B0771"/>
    <w:rsid w:val="006E3D0F"/>
    <w:rsid w:val="00763C3B"/>
    <w:rsid w:val="007767F5"/>
    <w:rsid w:val="008607EA"/>
    <w:rsid w:val="00966F14"/>
    <w:rsid w:val="009B3DC5"/>
    <w:rsid w:val="00A262AD"/>
    <w:rsid w:val="00A66121"/>
    <w:rsid w:val="00AB2636"/>
    <w:rsid w:val="00AC092C"/>
    <w:rsid w:val="00AC1A1D"/>
    <w:rsid w:val="00AD6D86"/>
    <w:rsid w:val="00B05D80"/>
    <w:rsid w:val="00BC0FEA"/>
    <w:rsid w:val="00BE7CC9"/>
    <w:rsid w:val="00CB26F8"/>
    <w:rsid w:val="00CC0E0C"/>
    <w:rsid w:val="00CC2530"/>
    <w:rsid w:val="00D2044E"/>
    <w:rsid w:val="00D91662"/>
    <w:rsid w:val="00EF0243"/>
    <w:rsid w:val="00F11E0F"/>
    <w:rsid w:val="00F17A61"/>
    <w:rsid w:val="23040BE2"/>
    <w:rsid w:val="34CE72A2"/>
    <w:rsid w:val="4D8E361A"/>
    <w:rsid w:val="686C3D32"/>
    <w:rsid w:val="70C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121">
    <w:name w:val="font121"/>
    <w:basedOn w:val="a0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0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0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8607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07EA"/>
    <w:rPr>
      <w:rFonts w:eastAsia="仿宋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121">
    <w:name w:val="font121"/>
    <w:basedOn w:val="a0"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71">
    <w:name w:val="font171"/>
    <w:basedOn w:val="a0"/>
    <w:qFormat/>
    <w:rPr>
      <w:rFonts w:ascii="方正仿宋_GB2312" w:eastAsia="方正仿宋_GB2312" w:hAnsi="方正仿宋_GB2312" w:cs="方正仿宋_GB2312"/>
      <w:b/>
      <w:bCs/>
      <w:color w:val="000000"/>
      <w:sz w:val="24"/>
      <w:szCs w:val="24"/>
      <w:u w:val="none"/>
    </w:rPr>
  </w:style>
  <w:style w:type="character" w:customStyle="1" w:styleId="font181">
    <w:name w:val="font181"/>
    <w:basedOn w:val="a0"/>
    <w:qFormat/>
    <w:rPr>
      <w:rFonts w:ascii="方正仿宋_GB2312" w:eastAsia="方正仿宋_GB2312" w:hAnsi="方正仿宋_GB2312" w:cs="方正仿宋_GB2312" w:hint="eastAsia"/>
      <w:color w:val="000000"/>
      <w:sz w:val="24"/>
      <w:szCs w:val="24"/>
      <w:u w:val="none"/>
    </w:rPr>
  </w:style>
  <w:style w:type="character" w:customStyle="1" w:styleId="font201">
    <w:name w:val="font201"/>
    <w:basedOn w:val="a0"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8607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07E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cp:lastPrinted>2025-09-25T01:44:00Z</cp:lastPrinted>
  <dcterms:created xsi:type="dcterms:W3CDTF">2025-03-13T12:51:00Z</dcterms:created>
  <dcterms:modified xsi:type="dcterms:W3CDTF">2025-09-25T11:50:00Z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eyJoZGlkIjoiZGYzYjQ1YTFhZGEzNjdmNGU3ODFjYjExZmJlNzM5OGUiLCJ1c2VySWQiOiIzMTIxMjg0NTQifQ==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0510DECE031C4DCC90BCEF269A9E023E_12</vt:lpwstr>
  </property>
</Properties>
</file>