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4E" w:rsidRPr="001C56A6" w:rsidRDefault="004A5019">
      <w:pPr>
        <w:overflowPunct w:val="0"/>
        <w:topLinePunct/>
        <w:adjustRightInd w:val="0"/>
        <w:snapToGrid w:val="0"/>
        <w:spacing w:line="560" w:lineRule="exact"/>
        <w:rPr>
          <w:rFonts w:ascii="黑体" w:eastAsia="黑体" w:hAnsi="黑体" w:cs="方正黑体_GBK"/>
          <w:color w:val="000000"/>
          <w:kern w:val="0"/>
          <w:szCs w:val="32"/>
          <w:lang w:bidi="ar"/>
        </w:rPr>
      </w:pPr>
      <w:r w:rsidRPr="001C56A6">
        <w:rPr>
          <w:rFonts w:ascii="黑体" w:eastAsia="黑体" w:hAnsi="黑体" w:cs="方正黑体_GBK"/>
          <w:color w:val="000000"/>
          <w:kern w:val="0"/>
          <w:szCs w:val="32"/>
          <w:lang w:bidi="ar"/>
        </w:rPr>
        <w:t>附件</w:t>
      </w:r>
      <w:r w:rsidR="001C56A6" w:rsidRPr="001C56A6">
        <w:rPr>
          <w:rFonts w:ascii="黑体" w:eastAsia="黑体" w:hAnsi="黑体" w:cs="方正黑体_GBK" w:hint="eastAsia"/>
          <w:color w:val="000000"/>
          <w:kern w:val="0"/>
          <w:szCs w:val="32"/>
          <w:lang w:bidi="ar"/>
        </w:rPr>
        <w:t>3</w:t>
      </w:r>
      <w:bookmarkStart w:id="0" w:name="_GoBack"/>
      <w:bookmarkEnd w:id="0"/>
    </w:p>
    <w:p w:rsidR="0069354E" w:rsidRDefault="004A5019" w:rsidP="004A5019">
      <w:pPr>
        <w:overflowPunct w:val="0"/>
        <w:topLinePunct/>
        <w:adjustRightInd w:val="0"/>
        <w:snapToGrid w:val="0"/>
        <w:spacing w:afterLines="100" w:after="579" w:line="64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 w:hint="eastAsia"/>
          <w:sz w:val="44"/>
          <w:szCs w:val="44"/>
        </w:rPr>
        <w:t>江苏省社会服务机构评估指标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702"/>
        <w:gridCol w:w="1229"/>
        <w:gridCol w:w="6441"/>
      </w:tblGrid>
      <w:tr w:rsidR="0069354E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黑体_GBK" w:cs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 w:cs="方正黑体_GBK" w:hint="eastAsia"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等线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等线" w:cs="等线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等线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等线" w:cs="等线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指标说明</w:t>
            </w:r>
          </w:p>
        </w:tc>
      </w:tr>
      <w:tr w:rsidR="0069354E">
        <w:trPr>
          <w:trHeight w:val="30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党建工作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党的组织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设立党组织（单建、联建；实体型、功能型）（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党组织班子成员和社会组织党员管理层人员双向进入、交叉任职（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党组织书记由社会组织负责人担任得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分，其他人员担任得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注：党组织应建未建的，不予评为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4A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（含）以上等级。</w:t>
            </w:r>
          </w:p>
        </w:tc>
      </w:tr>
      <w:tr w:rsidR="0069354E">
        <w:trPr>
          <w:trHeight w:val="3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党的工作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加强党员教育管理，落实党的基本组织生活制度，各项活动记录内容完整、格式规范（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注：基本组织生活制度包括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三会一课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、主题党日和谈心谈话等，实体型党支部还需要落实组织生活会、民主评议党员等制度。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落实意识形态责任制并建立相关制度（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落实党风廉政建设制度，党组织对社会组织重大事项决策、重要业务活动等提出意见（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注：党组织负责人有违规违纪行为的，不予评为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3A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（含）以上等级。未开展党的工作和活动的，不予评为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4A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（含）以上等级。</w:t>
            </w:r>
          </w:p>
        </w:tc>
      </w:tr>
      <w:tr w:rsidR="0069354E">
        <w:trPr>
          <w:trHeight w:val="3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基础条件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登记备案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按规定办理登记和备案（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登记事项：名称、业务范围、住所、开办资金、法定代表人、业务主管单位。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备案事项：印章（单位、财务、法定代表人）、银行账户、负责人、理事、监事。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注：组织需提供理事、监事名单。以上各项，有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项未按规定办理扣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分，扣完为止。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按民政部门及章程示范文本要求，将党的建设及社会主义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核心价值观相关内容规范完整写入章程（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14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年度检查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按规定参加年度检查（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2312" w:cs="方正仿宋_GB2312"/>
                <w:color w:val="000000" w:themeColor="text1"/>
                <w:kern w:val="0"/>
                <w:sz w:val="24"/>
                <w:szCs w:val="24"/>
                <w:lang w:bidi="ar"/>
              </w:rPr>
              <w:t>申报评估年度前两年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年检结论为合格（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年末净资产不低于开办资金（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8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遵纪守法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能够自觉遵守社会组织管理政策，无违规开展评比达标表彰、未设立分支机构等（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31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内部治理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组织机构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理事会设立及履职情况（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建立健全理事会工作制度；理事产生（罢免）符合规定；领导干部兼职与取酬符合规定；理事会按期换届；理事会召开次数符合章程规定，会议纪要制作规范；理事会按照章程规定履行职责。有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项不满足扣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分，扣完为止。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监事（会）设立及履职情况（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监事（会）设立和任职条件明确，产生（罢免）符合规定；监事（会）列席理事会，行使监督权。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内设机构设立运转情况（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设立办公室等日常内设机构，名称规范、职责明确、运转协调。</w:t>
            </w:r>
          </w:p>
        </w:tc>
      </w:tr>
      <w:tr w:rsidR="0069354E">
        <w:trPr>
          <w:trHeight w:val="33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内部治理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人力资源管理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建立并落实人员聘用制度，签订劳动合同（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建立薪酬、考核、奖惩等制度；履行社会保险、住房公积金等缴存义务（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行政负责人按章程规定的程序产生并履行职责；行政负责人为专职（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配备专职工作人员（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注：每配备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名专职工作人员得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0.2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分，加满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分为止。专职工作人员指建立劳动关系并购买社会保险的工作人员，返聘、劳动关系在其他单位的工作人员，按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50%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得分。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从业人员年龄结构合理，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周岁以下人员占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50%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以上；学历结构合理，本科及以上学历者占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50%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以上；专业能力合理，从事专业岗位人员有相应的专业职称或从业资格（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注：以上三项都符合得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分，两项符合得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分，一项符合得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0.2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分，三项都不符合不得分。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有专职工作人员的培训计划和培训记录；按规定参加政府等部门组织的业务培训（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17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合法运营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资金来源和资金使用符合国家政策法规和章程规定（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注：资金来源和资金使用不符合国家政策法规和章程规定的，不予评为</w:t>
            </w:r>
            <w:r>
              <w:rPr>
                <w:rFonts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3A</w:t>
            </w: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（含）以上等级。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资金支出标准、审批权限明确，各项支出审批手续齐全，符合制度要求（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资金列入符合规定的单位账簿（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投资管理制度健全，执行情况良好（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30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财务管理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严格执行《民间非营利组织会计制度》（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规范设置会计科目、凭证、账簿；会计核算规范；会计报表真实、完整。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建立健全财务管理制度，并严格执行（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会计机构设置合理，岗位职责明确；会计人员具备从事会计工作所需要的专业能力（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注：委托代理记账机构进行代理记账的，不扣分。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会计核算实行电算化（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按规定办理税务登记和申报（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规范使用各种票据（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与关联方无违规交易且无有失公平交易行为，关联交易及时披露（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内部治理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资产管理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建立资产管理制度（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建立资产管理台账，且做到账实相符，不存在账外资产（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实物资产购进、领用、保管、处置履行内部审批程序，定期盘点并及时处理（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固定资产标准和折旧年限确定合理，折旧计提准确（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接受捐赠及捐出资产符合要求（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档案印章管理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档案管理情况（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档案管理制度详尽；档案资料齐全、整理有序、档案交接手续完备。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印章管理情况（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印章有专人妥善保管，且用印登记记录详细。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监督审计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年度、换届、法定代表人离任审计完整、合</w:t>
            </w:r>
            <w:proofErr w:type="gramStart"/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规</w:t>
            </w:r>
            <w:proofErr w:type="gramEnd"/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注：未发生换届、法定代表人离任，以及按照登记管理机关要求无需在年度检查时提供审计报告的，不扣分。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审计发现的问题整改到位（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工作绩效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业务活动开展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业务活动符合章程规定的宗旨和业务范围（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业务活动应建立包括活动策划、组织实施、事中监管、事后评估等内容的全过程管理体系，并有相应的监督与考核（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业务（项目）长期执行，具有可复制性、可推广性或形成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品牌，并产生良好效果（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重大事项向业务主管单位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行业管理部门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党建工作机构报告（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重大事项包括开展评比达标表彰、举办节庆展会论坛、开展重大投资活动等。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参与乡村振兴、对口支援协作、长江经济带发展、长三角一体化发展等国家战略及重大决策部署（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申报评估年度前两年开展相关项目得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分；相关项目支出达到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万元（含）得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分，每增加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万元加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0.1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分，加满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分为止。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提供服务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根据自身业务领域，有完善的服务内容（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服务程序、服务收费规范合理（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制定服务承诺制度（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包括服务承诺内容、方式、服务满意度及投诉反馈机制等。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加强与政府部门的系统配合，积极协同政府落实有关政策（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包括参与制定政策法规及建言献策，接受政府委托项目或购买服务等。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提供公益服务，在履行社会责任、承担公共服务、提供智力支持、服务基层治理、协助科学决策等方面主动作为（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工作绩效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发展建设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制定中长期发展规划，明确发展目标、发展路径和重点任务等，编制年度工作计划并组织实施（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建有网站、报刊或实名认证的其他自媒体等宣传服务平台，定期开展宣传服务（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开展交流合作（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定期梳理并总结业务活动中存在的风险点，制定风险防范措施（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坚持正确的政治方向、舆论导向和价值取向，建立舆情应对、突发事件处置等制度（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业务效益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年度收入保持稳定或持续增长（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连续两年年均收入额高于（或等于）费用总额（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净资产逐年增加（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信息公开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依法履行信息公开义务（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公开内容包括：基本信息（登记事项、章程、组织机构、负责人等）；收费项目和标准；业务活动信息；年度工作报告和年检结果；捐赠信息。有</w:t>
            </w:r>
            <w:r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项未公开扣</w:t>
            </w:r>
            <w:r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分，扣完为止。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社会评价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内部评价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理事、监事对社会服务机构非营利性、领导班子履行职责、重大事项民主决策、能力建设和制度建设的评价（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注：所有理事、监事参与评价。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服务对象评价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主要服务对象对社会服务机构服务态度、服务质量、信息公开、社会影响力和诚信度的评价（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业务主管单位评价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由业务主管单位对社会服务机构进行总体评价（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注：直接登记的社会服务机构，由党建工作机构（或其授权的行业党委、属地党组织）进行评价。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社会影响力及公众形象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社会服务机构或负责人获得政府部门表彰奖励、行业评优评先；具有代表性、良好口碑和广泛影响力的社会服务案例等（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分）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textAlignment w:val="bottom"/>
              <w:rPr>
                <w:rFonts w:eastAsia="方正楷体_GBK" w:cs="方正楷体_GBK"/>
                <w:color w:val="000000" w:themeColor="text1"/>
                <w:sz w:val="24"/>
                <w:szCs w:val="24"/>
              </w:rPr>
            </w:pPr>
            <w:r>
              <w:rPr>
                <w:rStyle w:val="font111"/>
                <w:rFonts w:ascii="Times New Roman" w:hAnsi="Times New Roman" w:hint="default"/>
                <w:color w:val="000000" w:themeColor="text1"/>
                <w:lang w:bidi="ar"/>
              </w:rPr>
              <w:t>注：加</w:t>
            </w:r>
            <w:r>
              <w:rPr>
                <w:rFonts w:eastAsia="方正楷体_GBK" w:cs="方正楷体_GBK" w:hint="eastAsia"/>
                <w:color w:val="000000" w:themeColor="text1"/>
                <w:kern w:val="0"/>
                <w:sz w:val="24"/>
                <w:szCs w:val="24"/>
                <w:lang w:bidi="ar"/>
              </w:rPr>
              <w:t>*</w:t>
            </w:r>
            <w:r>
              <w:rPr>
                <w:rStyle w:val="font111"/>
                <w:rFonts w:ascii="Times New Roman" w:hAnsi="Times New Roman" w:hint="default"/>
                <w:color w:val="000000" w:themeColor="text1"/>
                <w:lang w:bidi="ar"/>
              </w:rPr>
              <w:t>项指标无需社会组织提供材料。</w:t>
            </w:r>
          </w:p>
        </w:tc>
      </w:tr>
    </w:tbl>
    <w:p w:rsidR="0069354E" w:rsidRDefault="0069354E"/>
    <w:sectPr w:rsidR="0069354E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DB2AFCDA-8209-4DA8-91B8-3766941F9FEE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2" w:subsetted="1" w:fontKey="{7D7EFD24-F86C-4332-93B1-664C9EE2E2A2}"/>
    <w:embedBold r:id="rId3" w:subsetted="1" w:fontKey="{E10ADB88-F915-4D6B-9B62-2758910CC425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27CDCEE7-91AF-4007-841D-E4329305489A}"/>
  </w:font>
  <w:font w:name="方正楷体_GBK">
    <w:charset w:val="86"/>
    <w:family w:val="script"/>
    <w:pitch w:val="fixed"/>
    <w:sig w:usb0="00000001" w:usb1="080E0000" w:usb2="00000010" w:usb3="00000000" w:csb0="00040000" w:csb1="00000000"/>
    <w:embedRegular r:id="rId5" w:subsetted="1" w:fontKey="{9CE3B799-D88E-4C8C-A65F-BA2610EF8DD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A995674-8791-4E9A-A054-0DF374DF6F1F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7" w:subsetted="1" w:fontKey="{B9803B95-6C76-40F2-AA7F-3F6ED63FF117}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8" w:subsetted="1" w:fontKey="{D63E57DA-7B8F-4358-80CE-FAA856E32AD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57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0"/>
    <w:rsid w:val="000A5C91"/>
    <w:rsid w:val="000B7CFA"/>
    <w:rsid w:val="000D249C"/>
    <w:rsid w:val="001C56A6"/>
    <w:rsid w:val="001D377D"/>
    <w:rsid w:val="00286CA1"/>
    <w:rsid w:val="0040775E"/>
    <w:rsid w:val="00453196"/>
    <w:rsid w:val="004629B5"/>
    <w:rsid w:val="004A5019"/>
    <w:rsid w:val="00500A77"/>
    <w:rsid w:val="00504D49"/>
    <w:rsid w:val="005A1F7B"/>
    <w:rsid w:val="00602F93"/>
    <w:rsid w:val="00637E3B"/>
    <w:rsid w:val="00646D50"/>
    <w:rsid w:val="00675390"/>
    <w:rsid w:val="0069354E"/>
    <w:rsid w:val="0069685C"/>
    <w:rsid w:val="006B0771"/>
    <w:rsid w:val="006E3D0F"/>
    <w:rsid w:val="00763C3B"/>
    <w:rsid w:val="007767F5"/>
    <w:rsid w:val="008607EA"/>
    <w:rsid w:val="00966F14"/>
    <w:rsid w:val="009B3DC5"/>
    <w:rsid w:val="00A262AD"/>
    <w:rsid w:val="00A66121"/>
    <w:rsid w:val="00AB2636"/>
    <w:rsid w:val="00AC092C"/>
    <w:rsid w:val="00AC1A1D"/>
    <w:rsid w:val="00B05D80"/>
    <w:rsid w:val="00BC0FEA"/>
    <w:rsid w:val="00BE7CC9"/>
    <w:rsid w:val="00CB26F8"/>
    <w:rsid w:val="00CC0E0C"/>
    <w:rsid w:val="00CC2530"/>
    <w:rsid w:val="00D2044E"/>
    <w:rsid w:val="00D91662"/>
    <w:rsid w:val="00EF0243"/>
    <w:rsid w:val="00F11E0F"/>
    <w:rsid w:val="00F17A61"/>
    <w:rsid w:val="23040BE2"/>
    <w:rsid w:val="34CE72A2"/>
    <w:rsid w:val="4D8E361A"/>
    <w:rsid w:val="686C3D32"/>
    <w:rsid w:val="70C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121">
    <w:name w:val="font121"/>
    <w:basedOn w:val="a0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0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0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8607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07E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121">
    <w:name w:val="font121"/>
    <w:basedOn w:val="a0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0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0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8607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07E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cp:lastPrinted>2025-09-25T01:44:00Z</cp:lastPrinted>
  <dcterms:created xsi:type="dcterms:W3CDTF">2025-03-13T12:51:00Z</dcterms:created>
  <dcterms:modified xsi:type="dcterms:W3CDTF">2025-09-25T11:52:00Z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eyJoZGlkIjoiZGYzYjQ1YTFhZGEzNjdmNGU3ODFjYjExZmJlNzM5OGUiLCJ1c2VySWQiOiIzMTIxMjg0NTQifQ==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0510DECE031C4DCC90BCEF269A9E023E_12</vt:lpwstr>
  </property>
</Properties>
</file>