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AEC6">
      <w:pPr>
        <w:keepNext w:val="0"/>
        <w:keepLines w:val="0"/>
        <w:pageBreakBefore w:val="0"/>
        <w:kinsoku/>
        <w:wordWrap/>
        <w:overflowPunct/>
        <w:topLinePunct w:val="0"/>
        <w:autoSpaceDE/>
        <w:autoSpaceDN/>
        <w:bidi w:val="0"/>
        <w:adjustRightInd/>
        <w:snapToGrid/>
        <w:spacing w:line="578" w:lineRule="exact"/>
        <w:jc w:val="center"/>
        <w:textAlignment w:val="auto"/>
        <w:rPr>
          <w:rFonts w:eastAsia="方正小标宋_GBK"/>
          <w:color w:val="auto"/>
          <w:sz w:val="44"/>
          <w:szCs w:val="44"/>
        </w:rPr>
      </w:pPr>
      <w:r>
        <w:rPr>
          <w:rFonts w:eastAsia="方正小标宋_GBK"/>
          <w:color w:val="auto"/>
          <w:sz w:val="44"/>
          <w:szCs w:val="44"/>
        </w:rPr>
        <w:t>关于鼓楼区202</w:t>
      </w:r>
      <w:r>
        <w:rPr>
          <w:rFonts w:hint="eastAsia" w:eastAsia="方正小标宋_GBK"/>
          <w:color w:val="auto"/>
          <w:sz w:val="44"/>
          <w:szCs w:val="44"/>
        </w:rPr>
        <w:t>5</w:t>
      </w:r>
      <w:r>
        <w:rPr>
          <w:rFonts w:eastAsia="方正小标宋_GBK"/>
          <w:color w:val="auto"/>
          <w:sz w:val="44"/>
          <w:szCs w:val="44"/>
        </w:rPr>
        <w:t>年国民经济和社会发展</w:t>
      </w:r>
    </w:p>
    <w:p w14:paraId="0EDC9C74">
      <w:pPr>
        <w:keepNext w:val="0"/>
        <w:keepLines w:val="0"/>
        <w:pageBreakBefore w:val="0"/>
        <w:kinsoku/>
        <w:wordWrap/>
        <w:overflowPunct/>
        <w:topLinePunct w:val="0"/>
        <w:autoSpaceDE/>
        <w:autoSpaceDN/>
        <w:bidi w:val="0"/>
        <w:adjustRightInd/>
        <w:snapToGrid/>
        <w:spacing w:line="578" w:lineRule="exact"/>
        <w:jc w:val="center"/>
        <w:textAlignment w:val="auto"/>
        <w:rPr>
          <w:rFonts w:eastAsia="方正小标宋_GBK"/>
          <w:color w:val="auto"/>
          <w:sz w:val="44"/>
          <w:szCs w:val="44"/>
        </w:rPr>
      </w:pPr>
      <w:r>
        <w:rPr>
          <w:rFonts w:eastAsia="方正小标宋_GBK"/>
          <w:color w:val="auto"/>
          <w:sz w:val="44"/>
          <w:szCs w:val="44"/>
        </w:rPr>
        <w:t>计划执行情况与202</w:t>
      </w:r>
      <w:r>
        <w:rPr>
          <w:rFonts w:hint="eastAsia" w:eastAsia="方正小标宋_GBK"/>
          <w:color w:val="auto"/>
          <w:sz w:val="44"/>
          <w:szCs w:val="44"/>
        </w:rPr>
        <w:t>6</w:t>
      </w:r>
      <w:r>
        <w:rPr>
          <w:rFonts w:eastAsia="方正小标宋_GBK"/>
          <w:color w:val="auto"/>
          <w:sz w:val="44"/>
          <w:szCs w:val="44"/>
        </w:rPr>
        <w:t>年国民经济和</w:t>
      </w:r>
    </w:p>
    <w:p w14:paraId="14B27623">
      <w:pPr>
        <w:keepNext w:val="0"/>
        <w:keepLines w:val="0"/>
        <w:pageBreakBefore w:val="0"/>
        <w:kinsoku/>
        <w:wordWrap/>
        <w:overflowPunct/>
        <w:topLinePunct w:val="0"/>
        <w:autoSpaceDE/>
        <w:autoSpaceDN/>
        <w:bidi w:val="0"/>
        <w:adjustRightInd/>
        <w:snapToGrid/>
        <w:spacing w:line="578" w:lineRule="exact"/>
        <w:jc w:val="center"/>
        <w:textAlignment w:val="auto"/>
        <w:rPr>
          <w:rFonts w:eastAsia="方正仿宋_GBK"/>
          <w:color w:val="auto"/>
          <w:sz w:val="32"/>
          <w:szCs w:val="32"/>
        </w:rPr>
      </w:pPr>
      <w:r>
        <w:rPr>
          <w:rFonts w:eastAsia="方正小标宋_GBK"/>
          <w:color w:val="auto"/>
          <w:sz w:val="44"/>
          <w:szCs w:val="44"/>
        </w:rPr>
        <w:t>社会发展计划草案的报告</w:t>
      </w:r>
    </w:p>
    <w:p w14:paraId="7D9C5C2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pPr>
      <w:r>
        <w:rPr>
          <w:rFonts w:ascii="方正楷体_GBK" w:hAnsi="方正楷体_GBK" w:eastAsia="方正楷体_GBK" w:cs="方正楷体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w:t>
      </w:r>
      <w:r>
        <w:rPr>
          <w:rFonts w:hint="eastAsia" w:ascii="Times New Roman" w:hAnsi="Times New Roman" w:eastAsia="宋体" w:cs="Times New Roman"/>
          <w:color w:val="000000"/>
          <w:kern w:val="0"/>
          <w:sz w:val="32"/>
          <w:szCs w:val="32"/>
          <w:lang w:val="en-US" w:eastAsia="zh-CN" w:bidi="ar"/>
        </w:rPr>
        <w:t>6</w:t>
      </w:r>
      <w:r>
        <w:rPr>
          <w:rFonts w:hint="eastAsia" w:ascii="方正楷体_GBK" w:hAnsi="方正楷体_GBK" w:eastAsia="方正楷体_GBK" w:cs="方正楷体_GBK"/>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方正楷体_GBK" w:hAnsi="方正楷体_GBK" w:eastAsia="方正楷体_GBK" w:cs="方正楷体_GBK"/>
          <w:color w:val="000000"/>
          <w:kern w:val="0"/>
          <w:sz w:val="32"/>
          <w:szCs w:val="32"/>
          <w:lang w:val="en-US" w:eastAsia="zh-CN" w:bidi="ar"/>
        </w:rPr>
        <w:t>月</w:t>
      </w:r>
      <w:r>
        <w:rPr>
          <w:rFonts w:hint="eastAsia" w:ascii="Times New Roman" w:hAnsi="Times New Roman" w:eastAsia="宋体" w:cs="Times New Roman"/>
          <w:color w:val="000000"/>
          <w:kern w:val="0"/>
          <w:sz w:val="32"/>
          <w:szCs w:val="32"/>
          <w:lang w:val="en-US" w:eastAsia="zh-CN" w:bidi="ar"/>
        </w:rPr>
        <w:t>8</w:t>
      </w:r>
      <w:r>
        <w:rPr>
          <w:rFonts w:hint="eastAsia" w:ascii="方正楷体_GBK" w:hAnsi="方正楷体_GBK" w:eastAsia="方正楷体_GBK" w:cs="方正楷体_GBK"/>
          <w:color w:val="000000"/>
          <w:kern w:val="0"/>
          <w:sz w:val="32"/>
          <w:szCs w:val="32"/>
          <w:lang w:val="en-US" w:eastAsia="zh-CN" w:bidi="ar"/>
        </w:rPr>
        <w:t>日在区第三届人民代表大会第五次会议上</w:t>
      </w:r>
    </w:p>
    <w:p w14:paraId="2BB7B5B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pPr>
      <w:r>
        <w:rPr>
          <w:rFonts w:hint="eastAsia" w:ascii="方正楷体_GBK" w:hAnsi="方正楷体_GBK" w:eastAsia="方正楷体_GBK" w:cs="方正楷体_GBK"/>
          <w:color w:val="000000"/>
          <w:kern w:val="0"/>
          <w:sz w:val="32"/>
          <w:szCs w:val="32"/>
          <w:lang w:val="en-US" w:eastAsia="zh-CN" w:bidi="ar"/>
        </w:rPr>
        <w:t>区发展和改革委员会</w:t>
      </w:r>
      <w:r>
        <w:rPr>
          <w:rFonts w:hint="default" w:ascii="Times New Roman" w:hAnsi="Times New Roman" w:eastAsia="宋体" w:cs="Times New Roman"/>
          <w:color w:val="000000"/>
          <w:kern w:val="0"/>
          <w:sz w:val="32"/>
          <w:szCs w:val="32"/>
          <w:lang w:val="en-US" w:eastAsia="zh-CN" w:bidi="ar"/>
        </w:rPr>
        <w:t xml:space="preserve"> </w:t>
      </w:r>
      <w:r>
        <w:rPr>
          <w:rFonts w:hint="eastAsia" w:ascii="方正楷体_GBK" w:hAnsi="方正楷体_GBK" w:eastAsia="方正楷体_GBK" w:cs="方正楷体_GBK"/>
          <w:color w:val="000000"/>
          <w:kern w:val="0"/>
          <w:sz w:val="32"/>
          <w:szCs w:val="32"/>
          <w:lang w:val="en-US" w:eastAsia="zh-CN" w:bidi="ar"/>
        </w:rPr>
        <w:t>倪娅红</w:t>
      </w:r>
    </w:p>
    <w:p w14:paraId="7511508A">
      <w:pPr>
        <w:spacing w:line="578" w:lineRule="exact"/>
        <w:rPr>
          <w:rFonts w:eastAsia="方正仿宋_GBK"/>
          <w:color w:val="auto"/>
          <w:sz w:val="32"/>
          <w:szCs w:val="32"/>
        </w:rPr>
      </w:pPr>
    </w:p>
    <w:p w14:paraId="2787377E">
      <w:pPr>
        <w:keepNext w:val="0"/>
        <w:keepLines w:val="0"/>
        <w:pageBreakBefore w:val="0"/>
        <w:widowControl w:val="0"/>
        <w:kinsoku/>
        <w:wordWrap/>
        <w:overflowPunct/>
        <w:topLinePunct w:val="0"/>
        <w:autoSpaceDE/>
        <w:autoSpaceDN/>
        <w:bidi w:val="0"/>
        <w:spacing w:line="560" w:lineRule="exact"/>
        <w:textAlignment w:val="auto"/>
        <w:rPr>
          <w:rFonts w:eastAsia="方正仿宋_GBK"/>
          <w:color w:val="auto"/>
          <w:sz w:val="32"/>
          <w:szCs w:val="32"/>
        </w:rPr>
      </w:pPr>
      <w:r>
        <w:rPr>
          <w:rFonts w:eastAsia="方正仿宋_GBK"/>
          <w:color w:val="auto"/>
          <w:sz w:val="32"/>
          <w:szCs w:val="32"/>
        </w:rPr>
        <w:t>各位代表：</w:t>
      </w:r>
    </w:p>
    <w:p w14:paraId="0968ADE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auto"/>
          <w:sz w:val="32"/>
          <w:szCs w:val="32"/>
        </w:rPr>
      </w:pPr>
      <w:r>
        <w:rPr>
          <w:rFonts w:eastAsia="方正仿宋_GBK"/>
          <w:color w:val="auto"/>
          <w:sz w:val="32"/>
          <w:szCs w:val="32"/>
        </w:rPr>
        <w:t>受区人民政府委托，现向大会报告鼓楼区202</w:t>
      </w:r>
      <w:r>
        <w:rPr>
          <w:rFonts w:hint="eastAsia" w:eastAsia="方正仿宋_GBK"/>
          <w:color w:val="auto"/>
          <w:sz w:val="32"/>
          <w:szCs w:val="32"/>
        </w:rPr>
        <w:t>5</w:t>
      </w:r>
      <w:r>
        <w:rPr>
          <w:rFonts w:eastAsia="方正仿宋_GBK"/>
          <w:color w:val="auto"/>
          <w:sz w:val="32"/>
          <w:szCs w:val="32"/>
        </w:rPr>
        <w:t>年国民经济和社会发展计划执行情况与202</w:t>
      </w:r>
      <w:r>
        <w:rPr>
          <w:rFonts w:hint="eastAsia" w:eastAsia="方正仿宋_GBK"/>
          <w:color w:val="auto"/>
          <w:sz w:val="32"/>
          <w:szCs w:val="32"/>
        </w:rPr>
        <w:t>6</w:t>
      </w:r>
      <w:r>
        <w:rPr>
          <w:rFonts w:eastAsia="方正仿宋_GBK"/>
          <w:color w:val="auto"/>
          <w:sz w:val="32"/>
          <w:szCs w:val="32"/>
        </w:rPr>
        <w:t>年国民经济和社会发展计划草案，请予审议，并请区政协各位委员和列席会议同志提出意见。</w:t>
      </w:r>
    </w:p>
    <w:p w14:paraId="0FE505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eastAsia="方正黑体_GBK"/>
          <w:color w:val="auto"/>
          <w:sz w:val="32"/>
          <w:szCs w:val="32"/>
        </w:rPr>
      </w:pPr>
      <w:r>
        <w:rPr>
          <w:rFonts w:eastAsia="方正黑体_GBK"/>
          <w:color w:val="auto"/>
          <w:sz w:val="32"/>
          <w:szCs w:val="32"/>
        </w:rPr>
        <w:t>一、202</w:t>
      </w:r>
      <w:r>
        <w:rPr>
          <w:rFonts w:hint="eastAsia" w:eastAsia="方正黑体_GBK"/>
          <w:color w:val="auto"/>
          <w:sz w:val="32"/>
          <w:szCs w:val="32"/>
        </w:rPr>
        <w:t>5</w:t>
      </w:r>
      <w:r>
        <w:rPr>
          <w:rFonts w:eastAsia="方正黑体_GBK"/>
          <w:color w:val="auto"/>
          <w:sz w:val="32"/>
          <w:szCs w:val="32"/>
        </w:rPr>
        <w:t>年国民经济和社会发展计划执行情况</w:t>
      </w:r>
    </w:p>
    <w:p w14:paraId="34B61D26">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auto"/>
          <w:sz w:val="32"/>
          <w:szCs w:val="32"/>
        </w:rPr>
      </w:pPr>
      <w:r>
        <w:rPr>
          <w:rFonts w:hint="eastAsia" w:eastAsia="方正仿宋_GBK"/>
          <w:color w:val="auto"/>
          <w:sz w:val="32"/>
          <w:szCs w:val="32"/>
        </w:rPr>
        <w:t>2025年是全面完成“十四五”规划目标任务的收官之年。在市委、市政府和区委的坚强领导下，在区人大、区政协有力监督和大力支持下，全区上下坚持以习近平新时代中国特色社会主义思想为指导，坚决贯彻党中央决策部署和习近平总书记对江苏工作重要讲话精神，认真落实省、市任务安排和区委全会部署，全面促发展、谋创新、惠民生，区域经济社会发展呈现稳中有进态势，</w:t>
      </w:r>
      <w:r>
        <w:rPr>
          <w:rFonts w:eastAsia="方正仿宋_GBK"/>
          <w:color w:val="auto"/>
          <w:sz w:val="32"/>
          <w:szCs w:val="32"/>
        </w:rPr>
        <w:t>对照区三届</w:t>
      </w:r>
      <w:r>
        <w:rPr>
          <w:rFonts w:hint="eastAsia" w:eastAsia="方正仿宋_GBK"/>
          <w:color w:val="auto"/>
          <w:sz w:val="32"/>
          <w:szCs w:val="32"/>
        </w:rPr>
        <w:t>人大四</w:t>
      </w:r>
      <w:r>
        <w:rPr>
          <w:rFonts w:eastAsia="方正仿宋_GBK"/>
          <w:color w:val="auto"/>
          <w:sz w:val="32"/>
          <w:szCs w:val="32"/>
        </w:rPr>
        <w:t>次会议上确定的7</w:t>
      </w:r>
      <w:r>
        <w:rPr>
          <w:rFonts w:hint="eastAsia" w:eastAsia="方正仿宋_GBK"/>
          <w:color w:val="auto"/>
          <w:sz w:val="32"/>
          <w:szCs w:val="32"/>
        </w:rPr>
        <w:t>0</w:t>
      </w:r>
      <w:r>
        <w:rPr>
          <w:rFonts w:eastAsia="方正仿宋_GBK"/>
          <w:color w:val="auto"/>
          <w:sz w:val="32"/>
          <w:szCs w:val="32"/>
        </w:rPr>
        <w:t>项国民经济和社会发展目标，总体完成情况较好。其中</w:t>
      </w:r>
      <w:r>
        <w:rPr>
          <w:rFonts w:hint="eastAsia" w:eastAsia="方正仿宋_GBK"/>
          <w:color w:val="auto"/>
          <w:sz w:val="32"/>
          <w:szCs w:val="32"/>
          <w:highlight w:val="none"/>
          <w:lang w:val="en-US" w:eastAsia="zh-CN"/>
        </w:rPr>
        <w:t>61</w:t>
      </w:r>
      <w:r>
        <w:rPr>
          <w:rFonts w:eastAsia="方正仿宋_GBK"/>
          <w:color w:val="auto"/>
          <w:sz w:val="32"/>
          <w:szCs w:val="32"/>
          <w:highlight w:val="none"/>
        </w:rPr>
        <w:t>项全面完成</w:t>
      </w:r>
      <w:r>
        <w:rPr>
          <w:rFonts w:eastAsia="方正仿宋_GBK"/>
          <w:color w:val="auto"/>
          <w:sz w:val="32"/>
          <w:szCs w:val="32"/>
        </w:rPr>
        <w:t>，</w:t>
      </w:r>
      <w:r>
        <w:rPr>
          <w:rFonts w:hint="eastAsia" w:eastAsia="方正仿宋_GBK"/>
          <w:color w:val="auto"/>
          <w:sz w:val="32"/>
          <w:szCs w:val="32"/>
          <w:lang w:val="en-US" w:eastAsia="zh-CN"/>
        </w:rPr>
        <w:t>2</w:t>
      </w:r>
      <w:r>
        <w:rPr>
          <w:rFonts w:eastAsia="方正仿宋_GBK"/>
          <w:color w:val="auto"/>
          <w:sz w:val="32"/>
          <w:szCs w:val="32"/>
        </w:rPr>
        <w:t>项指标未完成</w:t>
      </w:r>
      <w:r>
        <w:rPr>
          <w:rFonts w:hint="eastAsia" w:eastAsia="方正仿宋_GBK"/>
          <w:color w:val="auto"/>
          <w:sz w:val="32"/>
          <w:szCs w:val="32"/>
        </w:rPr>
        <w:t>，</w:t>
      </w:r>
      <w:r>
        <w:rPr>
          <w:rFonts w:hint="eastAsia" w:eastAsia="方正仿宋_GBK"/>
          <w:color w:val="auto"/>
          <w:sz w:val="32"/>
          <w:szCs w:val="32"/>
          <w:lang w:val="en-US" w:eastAsia="zh-CN"/>
        </w:rPr>
        <w:t>7</w:t>
      </w:r>
      <w:r>
        <w:rPr>
          <w:rFonts w:hint="eastAsia" w:eastAsia="方正仿宋_GBK"/>
          <w:color w:val="auto"/>
          <w:sz w:val="32"/>
          <w:szCs w:val="32"/>
        </w:rPr>
        <w:t>个重点项目子项未达预期，</w:t>
      </w:r>
      <w:r>
        <w:rPr>
          <w:rFonts w:eastAsia="方正仿宋_GBK"/>
          <w:color w:val="auto"/>
          <w:sz w:val="32"/>
          <w:szCs w:val="32"/>
        </w:rPr>
        <w:t>目标完成</w:t>
      </w:r>
      <w:r>
        <w:rPr>
          <w:rFonts w:eastAsia="方正仿宋_GBK"/>
          <w:color w:val="auto"/>
          <w:sz w:val="32"/>
          <w:szCs w:val="32"/>
          <w:highlight w:val="none"/>
        </w:rPr>
        <w:t>率</w:t>
      </w:r>
      <w:r>
        <w:rPr>
          <w:rFonts w:hint="eastAsia" w:eastAsia="方正仿宋_GBK"/>
          <w:color w:val="auto"/>
          <w:sz w:val="32"/>
          <w:szCs w:val="32"/>
          <w:highlight w:val="none"/>
          <w:lang w:val="en-US" w:eastAsia="zh-CN"/>
        </w:rPr>
        <w:t>93.7</w:t>
      </w:r>
      <w:r>
        <w:rPr>
          <w:rFonts w:eastAsia="方正仿宋_GBK"/>
          <w:color w:val="auto"/>
          <w:sz w:val="32"/>
          <w:szCs w:val="32"/>
          <w:highlight w:val="none"/>
        </w:rPr>
        <w:t>%</w:t>
      </w:r>
      <w:r>
        <w:rPr>
          <w:rStyle w:val="15"/>
          <w:rFonts w:eastAsia="方正仿宋_GBK"/>
          <w:color w:val="auto"/>
          <w:sz w:val="32"/>
          <w:szCs w:val="32"/>
          <w:highlight w:val="none"/>
        </w:rPr>
        <w:footnoteReference w:id="0"/>
      </w:r>
      <w:r>
        <w:rPr>
          <w:rFonts w:eastAsia="方正仿宋_GBK"/>
          <w:color w:val="auto"/>
          <w:sz w:val="32"/>
          <w:szCs w:val="32"/>
        </w:rPr>
        <w:t>。</w:t>
      </w:r>
    </w:p>
    <w:p w14:paraId="4988F912">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楷体_GBK"/>
          <w:color w:val="auto"/>
          <w:sz w:val="32"/>
          <w:szCs w:val="32"/>
        </w:rPr>
      </w:pPr>
      <w:r>
        <w:rPr>
          <w:rFonts w:eastAsia="方正楷体_GBK"/>
          <w:color w:val="auto"/>
          <w:sz w:val="32"/>
          <w:szCs w:val="32"/>
        </w:rPr>
        <w:t>（一）</w:t>
      </w:r>
      <w:r>
        <w:rPr>
          <w:rFonts w:hint="eastAsia" w:eastAsia="方正楷体_GBK"/>
          <w:color w:val="auto"/>
          <w:sz w:val="32"/>
          <w:szCs w:val="32"/>
          <w:highlight w:val="none"/>
        </w:rPr>
        <w:t>综合经济实力持续增强</w:t>
      </w:r>
    </w:p>
    <w:p w14:paraId="26C7FF35">
      <w:pPr>
        <w:pStyle w:val="10"/>
        <w:keepNext w:val="0"/>
        <w:keepLines w:val="0"/>
        <w:pageBreakBefore w:val="0"/>
        <w:widowControl w:val="0"/>
        <w:kinsoku/>
        <w:wordWrap/>
        <w:overflowPunct/>
        <w:topLinePunct w:val="0"/>
        <w:autoSpaceDE/>
        <w:autoSpaceDN/>
        <w:bidi w:val="0"/>
        <w:spacing w:line="560" w:lineRule="exact"/>
        <w:ind w:firstLine="643" w:firstLineChars="200"/>
        <w:textAlignment w:val="auto"/>
        <w:rPr>
          <w:rFonts w:eastAsia="方正仿宋_GBK"/>
          <w:color w:val="auto"/>
          <w:sz w:val="32"/>
          <w:szCs w:val="32"/>
          <w:highlight w:val="none"/>
        </w:rPr>
      </w:pPr>
      <w:r>
        <w:rPr>
          <w:rFonts w:hint="eastAsia" w:eastAsia="方正仿宋_GBK"/>
          <w:b/>
          <w:bCs/>
          <w:color w:val="auto"/>
          <w:sz w:val="32"/>
          <w:szCs w:val="32"/>
          <w:highlight w:val="none"/>
        </w:rPr>
        <w:t>经济发展量质齐升</w:t>
      </w:r>
      <w:r>
        <w:rPr>
          <w:rFonts w:eastAsia="方正仿宋_GBK"/>
          <w:b/>
          <w:bCs/>
          <w:color w:val="auto"/>
          <w:sz w:val="32"/>
          <w:szCs w:val="32"/>
          <w:highlight w:val="none"/>
        </w:rPr>
        <w:t>。</w:t>
      </w:r>
      <w:r>
        <w:rPr>
          <w:rFonts w:hint="eastAsia" w:eastAsia="方正仿宋_GBK"/>
          <w:color w:val="auto"/>
          <w:sz w:val="32"/>
          <w:szCs w:val="32"/>
          <w:highlight w:val="none"/>
        </w:rPr>
        <w:t>面对复杂多变外部环境，经济运行展现较强韧性，主要指标稳中有进，综合实力持续领跑，经济总量、社零、财税等指标保持领先。预计全年地区生产总值突破2200亿元、增长5%以上，单位面积经济产出超40亿元，稳居全省县</w:t>
      </w:r>
      <w:r>
        <w:rPr>
          <w:rFonts w:hint="eastAsia" w:eastAsia="方正仿宋_GBK"/>
          <w:color w:val="auto"/>
          <w:sz w:val="32"/>
          <w:szCs w:val="32"/>
          <w:highlight w:val="none"/>
          <w:lang w:eastAsia="zh-CN"/>
        </w:rPr>
        <w:t>（</w:t>
      </w:r>
      <w:r>
        <w:rPr>
          <w:rFonts w:hint="eastAsia" w:eastAsia="方正仿宋_GBK"/>
          <w:color w:val="auto"/>
          <w:sz w:val="32"/>
          <w:szCs w:val="32"/>
          <w:highlight w:val="none"/>
        </w:rPr>
        <w:t>市</w:t>
      </w:r>
      <w:r>
        <w:rPr>
          <w:rFonts w:hint="eastAsia" w:eastAsia="方正仿宋_GBK"/>
          <w:color w:val="auto"/>
          <w:sz w:val="32"/>
          <w:szCs w:val="32"/>
          <w:highlight w:val="none"/>
          <w:lang w:eastAsia="zh-CN"/>
        </w:rPr>
        <w:t>、</w:t>
      </w:r>
      <w:r>
        <w:rPr>
          <w:rFonts w:hint="eastAsia" w:eastAsia="方正仿宋_GBK"/>
          <w:color w:val="auto"/>
          <w:sz w:val="32"/>
          <w:szCs w:val="32"/>
          <w:highlight w:val="none"/>
        </w:rPr>
        <w:t>区</w:t>
      </w:r>
      <w:r>
        <w:rPr>
          <w:rFonts w:hint="eastAsia" w:eastAsia="方正仿宋_GBK"/>
          <w:color w:val="auto"/>
          <w:sz w:val="32"/>
          <w:szCs w:val="32"/>
          <w:highlight w:val="none"/>
          <w:lang w:eastAsia="zh-CN"/>
        </w:rPr>
        <w:t>）</w:t>
      </w:r>
      <w:r>
        <w:rPr>
          <w:rFonts w:hint="eastAsia" w:eastAsia="方正仿宋_GBK"/>
          <w:color w:val="auto"/>
          <w:sz w:val="32"/>
          <w:szCs w:val="32"/>
          <w:highlight w:val="none"/>
        </w:rPr>
        <w:t>第一方阵；社会消费品零售总额预计完成12</w:t>
      </w:r>
      <w:r>
        <w:rPr>
          <w:rFonts w:hint="eastAsia" w:eastAsia="方正仿宋_GBK"/>
          <w:color w:val="auto"/>
          <w:sz w:val="32"/>
          <w:szCs w:val="32"/>
          <w:highlight w:val="none"/>
          <w:lang w:val="en-US" w:eastAsia="zh-CN"/>
        </w:rPr>
        <w:t>0</w:t>
      </w:r>
      <w:r>
        <w:rPr>
          <w:rFonts w:hint="eastAsia" w:eastAsia="方正仿宋_GBK"/>
          <w:color w:val="auto"/>
          <w:sz w:val="32"/>
          <w:szCs w:val="32"/>
          <w:highlight w:val="none"/>
        </w:rPr>
        <w:t>0亿元，</w:t>
      </w:r>
      <w:r>
        <w:rPr>
          <w:rFonts w:hint="eastAsia" w:eastAsia="方正仿宋_GBK"/>
          <w:color w:val="auto"/>
          <w:sz w:val="32"/>
          <w:szCs w:val="32"/>
          <w:highlight w:val="none"/>
          <w:lang w:val="en-US" w:eastAsia="zh-CN"/>
        </w:rPr>
        <w:t>总量连续五年</w:t>
      </w:r>
      <w:r>
        <w:rPr>
          <w:rFonts w:hint="eastAsia" w:eastAsia="方正仿宋_GBK"/>
          <w:color w:val="auto"/>
          <w:sz w:val="32"/>
          <w:szCs w:val="32"/>
          <w:highlight w:val="none"/>
        </w:rPr>
        <w:t>全市第一</w:t>
      </w:r>
      <w:r>
        <w:rPr>
          <w:rFonts w:hint="eastAsia" w:eastAsia="方正仿宋_GBK"/>
          <w:color w:val="auto"/>
          <w:sz w:val="32"/>
          <w:szCs w:val="32"/>
          <w:highlight w:val="none"/>
          <w:lang w:eastAsia="zh-CN"/>
        </w:rPr>
        <w:t>；一般公共预算收入完成186.41亿元，</w:t>
      </w:r>
      <w:r>
        <w:rPr>
          <w:rFonts w:hint="eastAsia" w:eastAsia="方正仿宋_GBK"/>
          <w:color w:val="auto"/>
          <w:sz w:val="32"/>
          <w:szCs w:val="32"/>
          <w:highlight w:val="none"/>
          <w:lang w:val="en-US" w:eastAsia="zh-CN"/>
        </w:rPr>
        <w:t>增长</w:t>
      </w:r>
      <w:r>
        <w:rPr>
          <w:rFonts w:hint="eastAsia" w:eastAsia="方正仿宋_GBK"/>
          <w:color w:val="auto"/>
          <w:sz w:val="32"/>
          <w:szCs w:val="32"/>
          <w:highlight w:val="none"/>
          <w:lang w:eastAsia="zh-CN"/>
        </w:rPr>
        <w:t>1.6%</w:t>
      </w:r>
      <w:r>
        <w:rPr>
          <w:rFonts w:hint="eastAsia" w:eastAsia="方正仿宋_GBK"/>
          <w:color w:val="auto"/>
          <w:sz w:val="32"/>
          <w:szCs w:val="32"/>
          <w:highlight w:val="none"/>
        </w:rPr>
        <w:t>；城镇居民人均可支配收入突破9.5万元，</w:t>
      </w:r>
      <w:r>
        <w:rPr>
          <w:rFonts w:hint="eastAsia" w:eastAsia="方正仿宋_GBK"/>
          <w:color w:val="auto"/>
          <w:sz w:val="32"/>
          <w:szCs w:val="32"/>
          <w:highlight w:val="none"/>
          <w:lang w:val="en-US" w:eastAsia="zh-CN"/>
        </w:rPr>
        <w:t>位于全市前列，</w:t>
      </w:r>
      <w:r>
        <w:rPr>
          <w:rFonts w:hint="eastAsia" w:eastAsia="方正仿宋_GBK"/>
          <w:color w:val="auto"/>
          <w:sz w:val="32"/>
          <w:szCs w:val="32"/>
          <w:highlight w:val="none"/>
        </w:rPr>
        <w:t>增速与经济增长基本同步。</w:t>
      </w:r>
    </w:p>
    <w:p w14:paraId="63498CF3">
      <w:pPr>
        <w:pStyle w:val="10"/>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eastAsia="方正仿宋_GBK"/>
          <w:color w:val="auto"/>
          <w:sz w:val="32"/>
          <w:szCs w:val="32"/>
          <w:highlight w:val="none"/>
        </w:rPr>
      </w:pPr>
      <w:r>
        <w:rPr>
          <w:rFonts w:hint="eastAsia" w:eastAsia="方正仿宋_GBK"/>
          <w:b/>
          <w:bCs/>
          <w:color w:val="auto"/>
          <w:sz w:val="32"/>
          <w:szCs w:val="32"/>
          <w:highlight w:val="none"/>
        </w:rPr>
        <w:t>投资结构持续优化。</w:t>
      </w:r>
      <w:r>
        <w:rPr>
          <w:rFonts w:hint="eastAsia" w:eastAsia="方正仿宋_GBK"/>
          <w:color w:val="auto"/>
          <w:sz w:val="32"/>
          <w:szCs w:val="32"/>
          <w:highlight w:val="none"/>
        </w:rPr>
        <w:t>固定资产投资持续回升向好，1-11月增长2%，居全市前列，其中高技术产业投资实现翻番，增速主城第</w:t>
      </w:r>
      <w:r>
        <w:rPr>
          <w:rFonts w:hint="eastAsia" w:eastAsia="方正仿宋_GBK"/>
          <w:color w:val="auto"/>
          <w:sz w:val="32"/>
          <w:szCs w:val="32"/>
          <w:highlight w:val="none"/>
          <w:lang w:val="en-US" w:eastAsia="zh-CN"/>
        </w:rPr>
        <w:t>一</w:t>
      </w:r>
      <w:r>
        <w:rPr>
          <w:rFonts w:hint="eastAsia" w:eastAsia="方正仿宋_GBK"/>
          <w:color w:val="auto"/>
          <w:sz w:val="32"/>
          <w:szCs w:val="32"/>
          <w:highlight w:val="none"/>
        </w:rPr>
        <w:t>；基础设施投资增长42.3%，上元门过江通道、惠民大道综合改造等项目加快推进。抢抓政策机遇，精准对接支持领域，全力争取政策性资金，惠民河暗涵综合整治、老旧小区电梯更新改造及高技术领域等项目争取超长期特别国债约4.45亿元。全力保障160个重大项目建设，军人俱乐部等21个新开工项目实现开工，中信泰富总部基地等15个项目竣工验收，全年完成重大项目投资</w:t>
      </w:r>
      <w:r>
        <w:rPr>
          <w:rFonts w:hint="eastAsia" w:eastAsia="方正仿宋_GBK"/>
          <w:color w:val="auto"/>
          <w:sz w:val="32"/>
          <w:szCs w:val="32"/>
          <w:highlight w:val="none"/>
          <w:lang w:val="en-US" w:eastAsia="zh-CN"/>
        </w:rPr>
        <w:t>约</w:t>
      </w:r>
      <w:r>
        <w:rPr>
          <w:rFonts w:hint="eastAsia" w:eastAsia="方正仿宋_GBK"/>
          <w:color w:val="auto"/>
          <w:sz w:val="32"/>
          <w:szCs w:val="32"/>
          <w:highlight w:val="none"/>
        </w:rPr>
        <w:t>11</w:t>
      </w:r>
      <w:r>
        <w:rPr>
          <w:rFonts w:hint="eastAsia" w:eastAsia="方正仿宋_GBK"/>
          <w:color w:val="auto"/>
          <w:sz w:val="32"/>
          <w:szCs w:val="32"/>
          <w:highlight w:val="none"/>
          <w:lang w:val="en-US" w:eastAsia="zh-CN"/>
        </w:rPr>
        <w:t>0</w:t>
      </w:r>
      <w:r>
        <w:rPr>
          <w:rFonts w:hint="eastAsia" w:eastAsia="方正仿宋_GBK"/>
          <w:color w:val="auto"/>
          <w:sz w:val="32"/>
          <w:szCs w:val="32"/>
          <w:highlight w:val="none"/>
        </w:rPr>
        <w:t>亿元</w:t>
      </w:r>
      <w:r>
        <w:rPr>
          <w:rFonts w:hint="eastAsia" w:eastAsia="方正仿宋_GBK"/>
          <w:color w:val="auto"/>
          <w:sz w:val="32"/>
          <w:szCs w:val="32"/>
          <w:highlight w:val="none"/>
          <w:lang w:eastAsia="zh-CN"/>
        </w:rPr>
        <w:t>，</w:t>
      </w:r>
      <w:r>
        <w:rPr>
          <w:rFonts w:hint="eastAsia" w:eastAsia="方正仿宋_GBK"/>
          <w:color w:val="auto"/>
          <w:sz w:val="32"/>
          <w:szCs w:val="32"/>
          <w:highlight w:val="none"/>
        </w:rPr>
        <w:t>超额完成年度目标。“垠坤留创园</w:t>
      </w:r>
      <w:r>
        <w:rPr>
          <w:rFonts w:hint="eastAsia" w:eastAsia="方正仿宋_GBK"/>
          <w:color w:val="auto"/>
          <w:sz w:val="32"/>
          <w:szCs w:val="32"/>
          <w:highlight w:val="none"/>
          <w:lang w:eastAsia="zh-CN"/>
        </w:rPr>
        <w:t>‘</w:t>
      </w:r>
      <w:r>
        <w:rPr>
          <w:rFonts w:hint="eastAsia" w:eastAsia="方正仿宋_GBK"/>
          <w:color w:val="auto"/>
          <w:sz w:val="32"/>
          <w:szCs w:val="32"/>
          <w:highlight w:val="none"/>
        </w:rPr>
        <w:t>租金</w:t>
      </w:r>
      <w:r>
        <w:rPr>
          <w:rFonts w:hint="eastAsia" w:eastAsia="方正仿宋_GBK"/>
          <w:color w:val="auto"/>
          <w:sz w:val="32"/>
          <w:szCs w:val="32"/>
          <w:highlight w:val="none"/>
          <w:lang w:eastAsia="zh-CN"/>
        </w:rPr>
        <w:t>’</w:t>
      </w:r>
      <w:r>
        <w:rPr>
          <w:rFonts w:hint="eastAsia" w:eastAsia="方正仿宋_GBK"/>
          <w:color w:val="auto"/>
          <w:sz w:val="32"/>
          <w:szCs w:val="32"/>
          <w:highlight w:val="none"/>
        </w:rPr>
        <w:t>换股权项目”入选市盘活存量资产资源典型案例。</w:t>
      </w:r>
    </w:p>
    <w:p w14:paraId="340D7010">
      <w:pPr>
        <w:pStyle w:val="10"/>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eastAsia="方正仿宋_GBK"/>
          <w:color w:val="auto"/>
          <w:sz w:val="32"/>
          <w:szCs w:val="32"/>
          <w:highlight w:val="none"/>
          <w:lang w:eastAsia="zh-CN"/>
        </w:rPr>
      </w:pPr>
      <w:r>
        <w:rPr>
          <w:rFonts w:hint="eastAsia" w:eastAsia="方正仿宋_GBK"/>
          <w:b/>
          <w:bCs/>
          <w:color w:val="auto"/>
          <w:sz w:val="32"/>
          <w:szCs w:val="32"/>
          <w:highlight w:val="none"/>
        </w:rPr>
        <w:t>内外需求</w:t>
      </w:r>
      <w:r>
        <w:rPr>
          <w:rFonts w:hint="eastAsia" w:eastAsia="方正仿宋_GBK"/>
          <w:b/>
          <w:bCs/>
          <w:color w:val="auto"/>
          <w:sz w:val="32"/>
          <w:szCs w:val="32"/>
          <w:highlight w:val="none"/>
          <w:lang w:val="en-US" w:eastAsia="zh-CN"/>
        </w:rPr>
        <w:t>同步</w:t>
      </w:r>
      <w:r>
        <w:rPr>
          <w:rFonts w:hint="eastAsia" w:eastAsia="方正仿宋_GBK"/>
          <w:b/>
          <w:bCs/>
          <w:color w:val="auto"/>
          <w:sz w:val="32"/>
          <w:szCs w:val="32"/>
          <w:highlight w:val="none"/>
        </w:rPr>
        <w:t>提振</w:t>
      </w:r>
      <w:r>
        <w:rPr>
          <w:rFonts w:hint="eastAsia" w:eastAsia="方正仿宋_GBK"/>
          <w:b/>
          <w:bCs/>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用好用活“以旧换新”各类政策，</w:t>
      </w:r>
      <w:r>
        <w:rPr>
          <w:rFonts w:hint="eastAsia" w:eastAsia="方正仿宋_GBK"/>
          <w:color w:val="auto"/>
          <w:sz w:val="32"/>
          <w:szCs w:val="32"/>
          <w:highlight w:val="none"/>
        </w:rPr>
        <w:t>家电领域直接销售62万件，</w:t>
      </w:r>
      <w:r>
        <w:rPr>
          <w:rFonts w:hint="eastAsia" w:eastAsia="方正仿宋_GBK"/>
          <w:color w:val="auto"/>
          <w:sz w:val="32"/>
          <w:szCs w:val="32"/>
          <w:highlight w:val="none"/>
          <w:lang w:val="en-US" w:eastAsia="zh-CN"/>
        </w:rPr>
        <w:t>撬动</w:t>
      </w:r>
      <w:r>
        <w:rPr>
          <w:rFonts w:hint="eastAsia" w:eastAsia="方正仿宋_GBK"/>
          <w:color w:val="auto"/>
          <w:sz w:val="32"/>
          <w:szCs w:val="32"/>
          <w:highlight w:val="none"/>
        </w:rPr>
        <w:t>汽车、家电、3C数码等销售额超160亿元。首店经济成果丰硕，引进</w:t>
      </w:r>
      <w:r>
        <w:rPr>
          <w:rFonts w:hint="eastAsia" w:eastAsia="方正仿宋_GBK"/>
          <w:color w:val="auto"/>
          <w:sz w:val="32"/>
          <w:szCs w:val="32"/>
          <w:highlight w:val="none"/>
          <w:lang w:val="en-US" w:eastAsia="zh-CN"/>
        </w:rPr>
        <w:t>各类</w:t>
      </w:r>
      <w:r>
        <w:rPr>
          <w:rFonts w:hint="eastAsia" w:eastAsia="方正仿宋_GBK"/>
          <w:color w:val="auto"/>
          <w:sz w:val="32"/>
          <w:szCs w:val="32"/>
          <w:highlight w:val="none"/>
        </w:rPr>
        <w:t>品牌首店</w:t>
      </w:r>
      <w:r>
        <w:rPr>
          <w:rFonts w:hint="eastAsia" w:eastAsia="方正仿宋_GBK"/>
          <w:color w:val="auto"/>
          <w:sz w:val="32"/>
          <w:szCs w:val="32"/>
          <w:highlight w:val="none"/>
          <w:lang w:val="en-US" w:eastAsia="zh-CN"/>
        </w:rPr>
        <w:t>超120</w:t>
      </w:r>
      <w:r>
        <w:rPr>
          <w:rFonts w:hint="eastAsia" w:eastAsia="方正仿宋_GBK"/>
          <w:color w:val="auto"/>
          <w:sz w:val="32"/>
          <w:szCs w:val="32"/>
          <w:highlight w:val="none"/>
        </w:rPr>
        <w:t>家，</w:t>
      </w:r>
      <w:r>
        <w:rPr>
          <w:rFonts w:hint="eastAsia" w:eastAsia="方正仿宋_GBK"/>
          <w:color w:val="auto"/>
          <w:sz w:val="32"/>
          <w:szCs w:val="32"/>
          <w:highlight w:val="none"/>
          <w:lang w:val="en-US" w:eastAsia="zh-CN"/>
        </w:rPr>
        <w:t>其中省级</w:t>
      </w:r>
      <w:r>
        <w:rPr>
          <w:rFonts w:hint="eastAsia" w:eastAsia="方正仿宋_GBK"/>
          <w:color w:val="auto"/>
          <w:sz w:val="32"/>
          <w:szCs w:val="32"/>
          <w:highlight w:val="none"/>
        </w:rPr>
        <w:t>首店9家</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市级首店60家，</w:t>
      </w:r>
      <w:r>
        <w:rPr>
          <w:rFonts w:hint="eastAsia" w:eastAsia="方正仿宋_GBK"/>
          <w:color w:val="auto"/>
          <w:sz w:val="32"/>
          <w:szCs w:val="32"/>
          <w:highlight w:val="none"/>
        </w:rPr>
        <w:t>全省首家麦当劳Cube旗舰店、拥有全国最大“全家桶”的肯德基狮子桥店</w:t>
      </w:r>
      <w:r>
        <w:rPr>
          <w:rFonts w:hint="eastAsia" w:eastAsia="方正仿宋_GBK"/>
          <w:color w:val="auto"/>
          <w:sz w:val="32"/>
          <w:szCs w:val="32"/>
          <w:highlight w:val="none"/>
          <w:lang w:val="en-US" w:eastAsia="zh-CN"/>
        </w:rPr>
        <w:t>等</w:t>
      </w:r>
      <w:r>
        <w:rPr>
          <w:rFonts w:hint="eastAsia" w:eastAsia="方正仿宋_GBK"/>
          <w:color w:val="auto"/>
          <w:sz w:val="32"/>
          <w:szCs w:val="32"/>
          <w:highlight w:val="none"/>
        </w:rPr>
        <w:t>顺利开业。</w:t>
      </w:r>
      <w:r>
        <w:rPr>
          <w:rFonts w:hint="eastAsia" w:eastAsia="方正仿宋_GBK"/>
          <w:color w:val="auto"/>
          <w:sz w:val="32"/>
          <w:szCs w:val="32"/>
          <w:highlight w:val="none"/>
          <w:lang w:eastAsia="zh-CN"/>
        </w:rPr>
        <w:t>推动全市首个对外专业化船舶舾装码头启用，若驰网络入选省级跨境电商品牌库企业，品牌数占全市40%，位列全市第一。深圳诺威兰、嘉禾环境、中创德行等优质外贸新业态项目成功落地。预计全年实际使用外资1.16亿美元、完成外贸进出口总额4</w:t>
      </w:r>
      <w:r>
        <w:rPr>
          <w:rFonts w:hint="eastAsia" w:eastAsia="方正仿宋_GBK"/>
          <w:color w:val="auto"/>
          <w:sz w:val="32"/>
          <w:szCs w:val="32"/>
          <w:highlight w:val="none"/>
          <w:lang w:val="en-US" w:eastAsia="zh-CN"/>
        </w:rPr>
        <w:t>26.5</w:t>
      </w:r>
      <w:r>
        <w:rPr>
          <w:rFonts w:hint="eastAsia" w:eastAsia="方正仿宋_GBK"/>
          <w:color w:val="auto"/>
          <w:sz w:val="32"/>
          <w:szCs w:val="32"/>
          <w:highlight w:val="none"/>
          <w:lang w:eastAsia="zh-CN"/>
        </w:rPr>
        <w:t>亿元。</w:t>
      </w:r>
    </w:p>
    <w:p w14:paraId="2876F49E">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楷体_GBK"/>
          <w:color w:val="auto"/>
          <w:sz w:val="32"/>
          <w:szCs w:val="32"/>
          <w:highlight w:val="none"/>
          <w:lang w:val="en-US" w:eastAsia="zh-CN"/>
        </w:rPr>
      </w:pPr>
      <w:r>
        <w:rPr>
          <w:rFonts w:eastAsia="方正楷体_GBK"/>
          <w:color w:val="auto"/>
          <w:sz w:val="32"/>
          <w:szCs w:val="32"/>
          <w:highlight w:val="none"/>
        </w:rPr>
        <w:t>（二）</w:t>
      </w:r>
      <w:r>
        <w:rPr>
          <w:rFonts w:hint="eastAsia" w:eastAsia="方正楷体_GBK"/>
          <w:color w:val="auto"/>
          <w:sz w:val="32"/>
          <w:szCs w:val="32"/>
          <w:highlight w:val="none"/>
        </w:rPr>
        <w:t>科技创新</w:t>
      </w:r>
      <w:r>
        <w:rPr>
          <w:rFonts w:hint="eastAsia" w:eastAsia="方正楷体_GBK"/>
          <w:color w:val="auto"/>
          <w:sz w:val="32"/>
          <w:szCs w:val="32"/>
          <w:highlight w:val="none"/>
          <w:lang w:val="en-US" w:eastAsia="zh-CN"/>
        </w:rPr>
        <w:t>与产业</w:t>
      </w:r>
      <w:r>
        <w:rPr>
          <w:rFonts w:hint="eastAsia" w:eastAsia="方正楷体_GBK"/>
          <w:color w:val="auto"/>
          <w:sz w:val="32"/>
          <w:szCs w:val="32"/>
          <w:highlight w:val="none"/>
        </w:rPr>
        <w:t>创新</w:t>
      </w:r>
      <w:r>
        <w:rPr>
          <w:rFonts w:hint="eastAsia" w:eastAsia="方正楷体_GBK"/>
          <w:color w:val="auto"/>
          <w:sz w:val="32"/>
          <w:szCs w:val="32"/>
          <w:highlight w:val="none"/>
          <w:lang w:val="en-US" w:eastAsia="zh-CN"/>
        </w:rPr>
        <w:t>融合发展</w:t>
      </w:r>
    </w:p>
    <w:p w14:paraId="288A22E2">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highlight w:val="none"/>
          <w:lang w:val="en-US" w:eastAsia="zh-CN"/>
        </w:rPr>
      </w:pPr>
      <w:r>
        <w:rPr>
          <w:rFonts w:hint="eastAsia" w:eastAsia="方正仿宋_GBK"/>
          <w:b/>
          <w:bCs/>
          <w:color w:val="auto"/>
          <w:sz w:val="32"/>
          <w:szCs w:val="32"/>
          <w:highlight w:val="none"/>
        </w:rPr>
        <w:t>产业升级成效显著</w:t>
      </w:r>
      <w:r>
        <w:rPr>
          <w:rFonts w:hint="eastAsia" w:eastAsia="方正仿宋_GBK"/>
          <w:b/>
          <w:bCs/>
          <w:color w:val="auto"/>
          <w:sz w:val="32"/>
          <w:szCs w:val="32"/>
          <w:highlight w:val="none"/>
          <w:lang w:eastAsia="zh-CN"/>
        </w:rPr>
        <w:t>。</w:t>
      </w:r>
      <w:r>
        <w:rPr>
          <w:rFonts w:hint="eastAsia" w:eastAsia="方正仿宋_GBK"/>
          <w:color w:val="auto"/>
          <w:sz w:val="32"/>
          <w:szCs w:val="32"/>
          <w:highlight w:val="none"/>
          <w:lang w:eastAsia="zh-CN"/>
        </w:rPr>
        <w:t>组建运行4个产业攻坚办和4个产业专班，系统谋划产业发展方向。</w:t>
      </w:r>
      <w:r>
        <w:rPr>
          <w:rFonts w:hint="eastAsia" w:eastAsia="方正仿宋_GBK"/>
          <w:color w:val="auto"/>
          <w:sz w:val="32"/>
          <w:szCs w:val="32"/>
          <w:highlight w:val="none"/>
        </w:rPr>
        <w:t>深入实施“人工智能+”行动，布局发展生命健康、绿色低碳、脑机接口等新兴产业、未来产业</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建强</w:t>
      </w:r>
      <w:r>
        <w:rPr>
          <w:rFonts w:hint="eastAsia" w:eastAsia="方正仿宋_GBK"/>
          <w:color w:val="auto"/>
          <w:sz w:val="32"/>
          <w:szCs w:val="32"/>
          <w:highlight w:val="none"/>
        </w:rPr>
        <w:t>“算法名区”，江苏（南京）算数空间建成落地，推动一盏神灯、云境智能大模型</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新华大模型</w:t>
      </w:r>
      <w:r>
        <w:rPr>
          <w:rFonts w:hint="eastAsia" w:eastAsia="方正仿宋_GBK"/>
          <w:color w:val="auto"/>
          <w:sz w:val="32"/>
          <w:szCs w:val="32"/>
          <w:highlight w:val="none"/>
        </w:rPr>
        <w:t>通过国家备案。打造江苏省首个脑机智能科技创新园，联合南京大学、鼓楼医院共建脑机接口研究院，构建脑机接口产业协同创新“生态圈”</w:t>
      </w:r>
      <w:r>
        <w:rPr>
          <w:rFonts w:hint="eastAsia" w:eastAsia="方正仿宋_GBK"/>
          <w:color w:val="auto"/>
          <w:sz w:val="32"/>
          <w:szCs w:val="32"/>
          <w:highlight w:val="none"/>
          <w:lang w:val="en-US" w:eastAsia="zh-CN"/>
        </w:rPr>
        <w:t>，</w:t>
      </w:r>
      <w:r>
        <w:rPr>
          <w:rFonts w:hint="eastAsia" w:eastAsia="方正仿宋_GBK"/>
          <w:color w:val="auto"/>
          <w:sz w:val="32"/>
          <w:szCs w:val="32"/>
          <w:highlight w:val="none"/>
        </w:rPr>
        <w:t>软件信息</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现代</w:t>
      </w:r>
      <w:r>
        <w:rPr>
          <w:rFonts w:hint="eastAsia" w:eastAsia="方正仿宋_GBK"/>
          <w:color w:val="auto"/>
          <w:sz w:val="32"/>
          <w:szCs w:val="32"/>
          <w:highlight w:val="none"/>
        </w:rPr>
        <w:t>金融</w:t>
      </w:r>
      <w:r>
        <w:rPr>
          <w:rFonts w:hint="eastAsia" w:eastAsia="方正仿宋_GBK"/>
          <w:color w:val="auto"/>
          <w:sz w:val="32"/>
          <w:szCs w:val="32"/>
          <w:highlight w:val="none"/>
          <w:lang w:val="en-US" w:eastAsia="zh-CN"/>
        </w:rPr>
        <w:t>产业营收突破千亿，生物医药、智能电网产业规模分别达200亿元、280亿元。</w:t>
      </w:r>
    </w:p>
    <w:p w14:paraId="198568A0">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highlight w:val="none"/>
          <w:lang w:val="en-US" w:eastAsia="zh-CN"/>
        </w:rPr>
      </w:pPr>
      <w:r>
        <w:rPr>
          <w:rFonts w:hint="eastAsia" w:eastAsia="方正仿宋_GBK"/>
          <w:b/>
          <w:bCs/>
          <w:color w:val="auto"/>
          <w:sz w:val="32"/>
          <w:szCs w:val="32"/>
          <w:highlight w:val="none"/>
          <w:lang w:val="en-US" w:eastAsia="zh-CN"/>
        </w:rPr>
        <w:t>创新</w:t>
      </w:r>
      <w:r>
        <w:rPr>
          <w:rFonts w:hint="eastAsia" w:eastAsia="方正仿宋_GBK"/>
          <w:b/>
          <w:bCs/>
          <w:color w:val="auto"/>
          <w:sz w:val="32"/>
          <w:szCs w:val="32"/>
          <w:highlight w:val="none"/>
        </w:rPr>
        <w:t>主体</w:t>
      </w:r>
      <w:r>
        <w:rPr>
          <w:rFonts w:hint="eastAsia" w:eastAsia="方正仿宋_GBK"/>
          <w:b/>
          <w:bCs/>
          <w:color w:val="auto"/>
          <w:sz w:val="32"/>
          <w:szCs w:val="32"/>
          <w:highlight w:val="none"/>
          <w:lang w:val="en-US" w:eastAsia="zh-CN"/>
        </w:rPr>
        <w:t>稳步壮大。</w:t>
      </w:r>
      <w:r>
        <w:rPr>
          <w:rFonts w:hint="eastAsia" w:eastAsia="方正仿宋_GBK"/>
          <w:color w:val="auto"/>
          <w:sz w:val="32"/>
          <w:szCs w:val="32"/>
          <w:highlight w:val="none"/>
        </w:rPr>
        <w:t>连续五年</w:t>
      </w:r>
      <w:r>
        <w:rPr>
          <w:rFonts w:hint="eastAsia" w:eastAsia="方正仿宋_GBK"/>
          <w:color w:val="auto"/>
          <w:sz w:val="32"/>
          <w:szCs w:val="32"/>
          <w:highlight w:val="none"/>
          <w:lang w:val="en-US" w:eastAsia="zh-CN"/>
        </w:rPr>
        <w:t>持续推进</w:t>
      </w:r>
      <w:r>
        <w:rPr>
          <w:rFonts w:hint="eastAsia" w:eastAsia="方正仿宋_GBK"/>
          <w:color w:val="auto"/>
          <w:sz w:val="32"/>
          <w:szCs w:val="32"/>
          <w:highlight w:val="none"/>
        </w:rPr>
        <w:t>“全域创新”</w:t>
      </w:r>
      <w:r>
        <w:rPr>
          <w:rFonts w:hint="eastAsia" w:eastAsia="方正仿宋_GBK"/>
          <w:color w:val="auto"/>
          <w:sz w:val="32"/>
          <w:szCs w:val="32"/>
          <w:highlight w:val="none"/>
          <w:lang w:val="en-US" w:eastAsia="zh-CN"/>
        </w:rPr>
        <w:t>建设</w:t>
      </w:r>
      <w:r>
        <w:rPr>
          <w:rFonts w:hint="eastAsia" w:eastAsia="方正仿宋_GBK"/>
          <w:color w:val="auto"/>
          <w:sz w:val="32"/>
          <w:szCs w:val="32"/>
          <w:highlight w:val="none"/>
        </w:rPr>
        <w:t>，</w:t>
      </w:r>
      <w:r>
        <w:rPr>
          <w:rFonts w:hint="eastAsia" w:eastAsia="方正仿宋_GBK"/>
          <w:b w:val="0"/>
          <w:bCs w:val="0"/>
          <w:color w:val="auto"/>
          <w:sz w:val="32"/>
          <w:szCs w:val="32"/>
          <w:highlight w:val="none"/>
          <w:lang w:val="en-US" w:eastAsia="zh-CN"/>
        </w:rPr>
        <w:t>构建梯次并进的创新矩阵，</w:t>
      </w:r>
      <w:r>
        <w:rPr>
          <w:rFonts w:hint="eastAsia" w:eastAsia="方正仿宋_GBK"/>
          <w:color w:val="auto"/>
          <w:sz w:val="32"/>
          <w:szCs w:val="32"/>
          <w:highlight w:val="none"/>
          <w:lang w:val="en-US" w:eastAsia="zh-CN"/>
        </w:rPr>
        <w:t>新增康尼电子、圣诺热管等7家国家级专精特新“小巨人”企业、思极科技等44家省级专精特新中小企业，省级专精特新中小企业突破百家。</w:t>
      </w:r>
      <w:r>
        <w:rPr>
          <w:rFonts w:hint="eastAsia" w:eastAsia="方正仿宋_GBK"/>
          <w:color w:val="auto"/>
          <w:sz w:val="32"/>
          <w:szCs w:val="32"/>
          <w:highlight w:val="none"/>
        </w:rPr>
        <w:t>朗坤智慧被认定为国家级制造业单项冠军企业，并荣获工业互联网大赛全国冠军</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鼓楼区智慧能源管理系统设备产业集群成功入选2025年度全省中小企业特色产业集群</w:t>
      </w:r>
      <w:r>
        <w:rPr>
          <w:rFonts w:hint="eastAsia" w:eastAsia="方正仿宋_GBK"/>
          <w:color w:val="auto"/>
          <w:sz w:val="32"/>
          <w:szCs w:val="32"/>
          <w:highlight w:val="none"/>
        </w:rPr>
        <w:t>。</w:t>
      </w:r>
      <w:r>
        <w:rPr>
          <w:rFonts w:hint="eastAsia" w:eastAsia="方正仿宋_GBK"/>
          <w:color w:val="auto"/>
          <w:sz w:val="32"/>
          <w:szCs w:val="32"/>
          <w:highlight w:val="none"/>
          <w:lang w:val="en-US" w:eastAsia="zh-CN"/>
        </w:rPr>
        <w:t>苏港智能等5家企业入选市级工程研究中心，数量</w:t>
      </w:r>
      <w:r>
        <w:rPr>
          <w:rFonts w:hint="eastAsia" w:eastAsia="方正仿宋_GBK"/>
          <w:color w:val="auto"/>
          <w:sz w:val="32"/>
          <w:szCs w:val="32"/>
          <w:highlight w:val="none"/>
          <w:lang w:eastAsia="zh-CN"/>
        </w:rPr>
        <w:t>居</w:t>
      </w:r>
      <w:r>
        <w:rPr>
          <w:rFonts w:hint="eastAsia" w:eastAsia="方正仿宋_GBK"/>
          <w:color w:val="auto"/>
          <w:sz w:val="32"/>
          <w:szCs w:val="32"/>
          <w:highlight w:val="none"/>
          <w:lang w:val="en-US" w:eastAsia="zh-CN"/>
        </w:rPr>
        <w:t>主城</w:t>
      </w:r>
      <w:r>
        <w:rPr>
          <w:rFonts w:hint="eastAsia" w:eastAsia="方正仿宋_GBK"/>
          <w:color w:val="auto"/>
          <w:sz w:val="32"/>
          <w:szCs w:val="32"/>
          <w:highlight w:val="none"/>
          <w:lang w:eastAsia="zh-CN"/>
        </w:rPr>
        <w:t>前列，新认定培育独角兽企业6家、瞪羚企业13家。</w:t>
      </w:r>
      <w:r>
        <w:rPr>
          <w:rFonts w:hint="default" w:ascii="Times New Roman" w:hAnsi="Times New Roman" w:eastAsia="方正仿宋_GBK" w:cs="Times New Roman"/>
          <w:color w:val="auto"/>
          <w:kern w:val="2"/>
          <w:sz w:val="32"/>
          <w:szCs w:val="32"/>
          <w:highlight w:val="none"/>
          <w:lang w:val="en-US" w:eastAsia="zh-CN" w:bidi="ar-SA"/>
        </w:rPr>
        <w:t>水科院等5家单位入选市级概念验证中心，全市第一。</w:t>
      </w:r>
      <w:r>
        <w:rPr>
          <w:rFonts w:hint="eastAsia" w:eastAsia="方正仿宋_GBK" w:cs="Times New Roman"/>
          <w:color w:val="auto"/>
          <w:kern w:val="2"/>
          <w:sz w:val="32"/>
          <w:szCs w:val="32"/>
          <w:highlight w:val="none"/>
          <w:lang w:val="en-US" w:eastAsia="zh-CN" w:bidi="ar-SA"/>
        </w:rPr>
        <w:t>技术合同成交额超130亿元，</w:t>
      </w:r>
      <w:r>
        <w:rPr>
          <w:rFonts w:hint="eastAsia" w:eastAsia="方正仿宋_GBK"/>
          <w:color w:val="auto"/>
          <w:sz w:val="32"/>
          <w:szCs w:val="32"/>
          <w:highlight w:val="none"/>
          <w:lang w:eastAsia="zh-CN"/>
        </w:rPr>
        <w:t>入库科技型中小企业197</w:t>
      </w:r>
      <w:r>
        <w:rPr>
          <w:rFonts w:hint="eastAsia" w:eastAsia="方正仿宋_GBK"/>
          <w:color w:val="auto"/>
          <w:sz w:val="32"/>
          <w:szCs w:val="32"/>
          <w:highlight w:val="none"/>
          <w:lang w:val="en-US" w:eastAsia="zh-CN"/>
        </w:rPr>
        <w:t>4家，近三年平均增幅位居全市前列，</w:t>
      </w:r>
      <w:r>
        <w:rPr>
          <w:rFonts w:hint="eastAsia" w:ascii="Times New Roman" w:hAnsi="Times New Roman" w:eastAsia="方正仿宋_GBK" w:cs="Times New Roman"/>
          <w:color w:val="auto"/>
          <w:sz w:val="32"/>
          <w:szCs w:val="32"/>
          <w:highlight w:val="none"/>
        </w:rPr>
        <w:t>新认定</w:t>
      </w:r>
      <w:r>
        <w:rPr>
          <w:rFonts w:ascii="Times New Roman" w:hAnsi="Times New Roman" w:eastAsia="方正仿宋_GBK" w:cs="Times New Roman"/>
          <w:color w:val="auto"/>
          <w:sz w:val="32"/>
          <w:szCs w:val="32"/>
          <w:highlight w:val="none"/>
        </w:rPr>
        <w:t>高新技术企业</w:t>
      </w:r>
      <w:r>
        <w:rPr>
          <w:rFonts w:hint="eastAsia" w:eastAsia="方正仿宋_GBK"/>
          <w:color w:val="auto"/>
          <w:sz w:val="32"/>
          <w:szCs w:val="32"/>
          <w:highlight w:val="none"/>
          <w:lang w:eastAsia="zh-CN"/>
        </w:rPr>
        <w:t>251家、</w:t>
      </w:r>
      <w:r>
        <w:rPr>
          <w:rFonts w:hint="eastAsia" w:ascii="Times New Roman" w:hAnsi="Times New Roman" w:eastAsia="方正仿宋_GBK" w:cs="Times New Roman"/>
          <w:color w:val="auto"/>
          <w:sz w:val="32"/>
          <w:szCs w:val="32"/>
          <w:highlight w:val="none"/>
          <w:lang w:val="en-US" w:eastAsia="zh-CN"/>
        </w:rPr>
        <w:t>总数超630家，首次获批省级创新联合体1家</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新组建市级创新联合体4家。</w:t>
      </w:r>
    </w:p>
    <w:p w14:paraId="0D492C35">
      <w:pPr>
        <w:pStyle w:val="10"/>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eastAsia="方正仿宋_GBK"/>
          <w:color w:val="auto"/>
          <w:sz w:val="32"/>
          <w:szCs w:val="32"/>
          <w:highlight w:val="none"/>
          <w:lang w:val="en-US" w:eastAsia="zh-CN"/>
        </w:rPr>
      </w:pPr>
      <w:r>
        <w:rPr>
          <w:rFonts w:hint="eastAsia" w:eastAsia="方正仿宋_GBK"/>
          <w:b/>
          <w:bCs/>
          <w:color w:val="auto"/>
          <w:sz w:val="32"/>
          <w:szCs w:val="32"/>
          <w:highlight w:val="none"/>
          <w:lang w:val="en-US" w:eastAsia="zh-CN"/>
        </w:rPr>
        <w:t>产业生态持续优化</w:t>
      </w:r>
      <w:r>
        <w:rPr>
          <w:rFonts w:eastAsia="方正仿宋_GBK"/>
          <w:color w:val="auto"/>
          <w:sz w:val="32"/>
          <w:szCs w:val="32"/>
          <w:highlight w:val="none"/>
          <w:shd w:val="clear" w:color="auto" w:fill="FFFFFF"/>
        </w:rPr>
        <w:t>。</w:t>
      </w:r>
      <w:r>
        <w:rPr>
          <w:rFonts w:hint="eastAsia" w:eastAsia="方正仿宋_GBK"/>
          <w:color w:val="auto"/>
          <w:sz w:val="32"/>
          <w:szCs w:val="32"/>
          <w:highlight w:val="none"/>
          <w:lang w:eastAsia="zh-CN"/>
        </w:rPr>
        <w:t>锚定“1+2+3”现代化产业体系，</w:t>
      </w:r>
      <w:r>
        <w:rPr>
          <w:rFonts w:hint="eastAsia" w:eastAsia="方正仿宋_GBK"/>
          <w:color w:val="auto"/>
          <w:sz w:val="32"/>
          <w:szCs w:val="32"/>
          <w:highlight w:val="none"/>
        </w:rPr>
        <w:t>推出“1+N”产业政策工具包</w:t>
      </w:r>
      <w:r>
        <w:rPr>
          <w:rStyle w:val="15"/>
          <w:rFonts w:eastAsia="方正仿宋_GBK"/>
          <w:color w:val="auto"/>
          <w:sz w:val="32"/>
          <w:szCs w:val="32"/>
          <w:highlight w:val="none"/>
        </w:rPr>
        <w:footnoteReference w:id="1"/>
      </w:r>
      <w:r>
        <w:rPr>
          <w:rFonts w:hint="eastAsia" w:eastAsia="方正仿宋_GBK"/>
          <w:color w:val="auto"/>
          <w:sz w:val="32"/>
          <w:szCs w:val="32"/>
          <w:highlight w:val="none"/>
        </w:rPr>
        <w:t>，从资金扶持、技术创新等关键环节提供全方位支撑</w:t>
      </w:r>
      <w:r>
        <w:rPr>
          <w:rFonts w:hint="eastAsia" w:eastAsia="方正仿宋_GBK"/>
          <w:color w:val="auto"/>
          <w:sz w:val="32"/>
          <w:szCs w:val="32"/>
          <w:highlight w:val="none"/>
          <w:lang w:eastAsia="zh-CN"/>
        </w:rPr>
        <w:t>。</w:t>
      </w:r>
      <w:r>
        <w:rPr>
          <w:rFonts w:hint="eastAsia" w:eastAsia="方正仿宋_GBK"/>
          <w:color w:val="auto"/>
          <w:sz w:val="32"/>
          <w:szCs w:val="32"/>
          <w:highlight w:val="none"/>
        </w:rPr>
        <w:t>推动数据要素合规高效流通，完成全省首个区县级公共数据资源登记，省数交所专板上架数据产品415个、场内交易额达5722.06万元，均居全省区县第</w:t>
      </w:r>
      <w:r>
        <w:rPr>
          <w:rFonts w:hint="eastAsia" w:eastAsia="方正仿宋_GBK"/>
          <w:color w:val="auto"/>
          <w:sz w:val="32"/>
          <w:szCs w:val="32"/>
          <w:highlight w:val="none"/>
          <w:lang w:val="en-US" w:eastAsia="zh-CN"/>
        </w:rPr>
        <w:t>一</w:t>
      </w:r>
      <w:r>
        <w:rPr>
          <w:rFonts w:hint="eastAsia" w:eastAsia="方正仿宋_GBK"/>
          <w:color w:val="auto"/>
          <w:sz w:val="32"/>
          <w:szCs w:val="32"/>
          <w:highlight w:val="none"/>
        </w:rPr>
        <w:t>。</w:t>
      </w:r>
      <w:r>
        <w:rPr>
          <w:rFonts w:hint="default" w:eastAsia="方正仿宋_GBK"/>
          <w:color w:val="auto"/>
          <w:sz w:val="32"/>
          <w:szCs w:val="32"/>
          <w:highlight w:val="none"/>
          <w:lang w:val="en-US" w:eastAsia="zh-CN"/>
        </w:rPr>
        <w:t>擦亮“</w:t>
      </w:r>
      <w:r>
        <w:rPr>
          <w:rFonts w:hint="eastAsia" w:eastAsia="方正仿宋_GBK"/>
          <w:color w:val="auto"/>
          <w:sz w:val="32"/>
          <w:szCs w:val="32"/>
          <w:highlight w:val="none"/>
          <w:lang w:val="en-US" w:eastAsia="zh-CN"/>
        </w:rPr>
        <w:t>全省</w:t>
      </w:r>
      <w:r>
        <w:rPr>
          <w:rFonts w:hint="default" w:eastAsia="方正仿宋_GBK"/>
          <w:color w:val="auto"/>
          <w:sz w:val="32"/>
          <w:szCs w:val="32"/>
          <w:highlight w:val="none"/>
          <w:lang w:val="en-US" w:eastAsia="zh-CN"/>
        </w:rPr>
        <w:t>央企招引服务第一区”名片，</w:t>
      </w:r>
      <w:r>
        <w:rPr>
          <w:rFonts w:hint="eastAsia" w:eastAsia="方正仿宋_GBK"/>
          <w:color w:val="auto"/>
          <w:sz w:val="32"/>
          <w:szCs w:val="32"/>
          <w:highlight w:val="none"/>
          <w:lang w:val="en-US" w:eastAsia="zh-CN"/>
        </w:rPr>
        <w:t>雅砻江（江苏）能源等项目落地，电子元器件和集成电路国际交易中心华东分中心正式揭牌，</w:t>
      </w:r>
      <w:r>
        <w:rPr>
          <w:rFonts w:hint="default" w:eastAsia="方正仿宋_GBK"/>
          <w:color w:val="auto"/>
          <w:sz w:val="32"/>
          <w:szCs w:val="32"/>
          <w:highlight w:val="none"/>
          <w:lang w:val="en-US" w:eastAsia="zh-CN"/>
        </w:rPr>
        <w:t>全年落地高能级项目6个。</w:t>
      </w:r>
      <w:r>
        <w:rPr>
          <w:rFonts w:hint="eastAsia" w:ascii="方正仿宋_GBK" w:hAnsi="方正仿宋_GBK" w:eastAsia="方正仿宋_GBK" w:cs="方正仿宋_GBK"/>
          <w:color w:val="auto"/>
          <w:kern w:val="2"/>
          <w:sz w:val="32"/>
          <w:szCs w:val="20"/>
          <w:highlight w:val="none"/>
          <w:lang w:val="en-US" w:eastAsia="zh-CN" w:bidi="ar-SA"/>
        </w:rPr>
        <w:t>全年新增硅巷面积</w:t>
      </w:r>
      <w:r>
        <w:rPr>
          <w:rFonts w:hint="eastAsia" w:ascii="Times New Roman" w:hAnsi="Times New Roman" w:eastAsia="方正仿宋_GBK" w:cs="Times New Roman"/>
          <w:color w:val="auto"/>
          <w:kern w:val="2"/>
          <w:sz w:val="32"/>
          <w:szCs w:val="20"/>
          <w:highlight w:val="none"/>
          <w:lang w:val="en-US" w:eastAsia="zh-CN" w:bidi="ar-SA"/>
        </w:rPr>
        <w:t>13.4</w:t>
      </w:r>
      <w:r>
        <w:rPr>
          <w:rFonts w:hint="eastAsia" w:ascii="方正仿宋_GBK" w:hAnsi="方正仿宋_GBK" w:eastAsia="方正仿宋_GBK" w:cs="方正仿宋_GBK"/>
          <w:color w:val="auto"/>
          <w:kern w:val="2"/>
          <w:sz w:val="32"/>
          <w:szCs w:val="20"/>
          <w:highlight w:val="none"/>
          <w:lang w:val="en-US" w:eastAsia="zh-CN" w:bidi="ar-SA"/>
        </w:rPr>
        <w:t>万平方米，南智芯绿色先进材料孵化器入选省标杆孵化器、主城唯一。</w:t>
      </w:r>
      <w:r>
        <w:rPr>
          <w:rFonts w:hint="default" w:eastAsia="方正仿宋_GBK"/>
          <w:color w:val="auto"/>
          <w:sz w:val="32"/>
          <w:szCs w:val="32"/>
          <w:highlight w:val="none"/>
          <w:lang w:val="en-US" w:eastAsia="zh-CN"/>
        </w:rPr>
        <w:t>新增苏宁慧谷中心E08、高创硅巷2栋亿元楼宇，金川硅巷23号楼、万谷京东产业园2栋特色楼宇，获评“中国总部经济发展指数标杆范例城区”，成为全省唯一获此殊荣的行政区。</w:t>
      </w:r>
    </w:p>
    <w:p w14:paraId="2875E63F">
      <w:pPr>
        <w:pStyle w:val="10"/>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eastAsia="方正楷体_GBK"/>
          <w:color w:val="auto"/>
          <w:sz w:val="32"/>
          <w:szCs w:val="32"/>
          <w:highlight w:val="none"/>
        </w:rPr>
      </w:pPr>
      <w:r>
        <w:rPr>
          <w:rFonts w:hint="eastAsia" w:eastAsia="方正楷体_GBK"/>
          <w:color w:val="auto"/>
          <w:sz w:val="32"/>
          <w:szCs w:val="32"/>
          <w:highlight w:val="none"/>
          <w:lang w:eastAsia="zh-CN"/>
        </w:rPr>
        <w:t>城市综合品质稳步提升</w:t>
      </w:r>
    </w:p>
    <w:p w14:paraId="221767B8">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楷体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城市</w:t>
      </w:r>
      <w:r>
        <w:rPr>
          <w:rFonts w:hint="eastAsia" w:ascii="方正仿宋_GBK" w:hAnsi="方正仿宋_GBK" w:eastAsia="方正仿宋_GBK" w:cs="方正仿宋_GBK"/>
          <w:b/>
          <w:bCs/>
          <w:color w:val="auto"/>
          <w:kern w:val="0"/>
          <w:sz w:val="32"/>
          <w:szCs w:val="32"/>
          <w:highlight w:val="none"/>
          <w:lang w:val="en-US" w:eastAsia="zh-CN"/>
        </w:rPr>
        <w:t>更新</w:t>
      </w:r>
      <w:r>
        <w:rPr>
          <w:rFonts w:hint="eastAsia" w:ascii="方正仿宋_GBK" w:hAnsi="方正仿宋_GBK" w:eastAsia="方正仿宋_GBK" w:cs="方正仿宋_GBK"/>
          <w:b/>
          <w:bCs/>
          <w:color w:val="auto"/>
          <w:kern w:val="0"/>
          <w:sz w:val="32"/>
          <w:szCs w:val="32"/>
          <w:highlight w:val="none"/>
        </w:rPr>
        <w:t>提质提效。</w:t>
      </w:r>
      <w:r>
        <w:rPr>
          <w:rFonts w:hint="eastAsia" w:eastAsia="方正仿宋_GBK"/>
          <w:color w:val="auto"/>
          <w:sz w:val="32"/>
          <w:szCs w:val="32"/>
          <w:highlight w:val="none"/>
        </w:rPr>
        <w:t>以“城市更新实验区”建设为抓手，</w:t>
      </w:r>
      <w:r>
        <w:rPr>
          <w:rFonts w:hint="eastAsia" w:eastAsia="方正仿宋_GBK"/>
          <w:color w:val="auto"/>
          <w:kern w:val="0"/>
          <w:sz w:val="32"/>
          <w:szCs w:val="32"/>
          <w:highlight w:val="none"/>
        </w:rPr>
        <w:t>聚焦活力中心区、特色街巷等重点领域</w:t>
      </w:r>
      <w:r>
        <w:rPr>
          <w:rFonts w:hint="eastAsia" w:eastAsia="方正仿宋_GBK"/>
          <w:color w:val="auto"/>
          <w:sz w:val="32"/>
          <w:szCs w:val="32"/>
          <w:highlight w:val="none"/>
        </w:rPr>
        <w:t>更新改造，金源大厦、乐福里焕新亮相，</w:t>
      </w:r>
      <w:r>
        <w:rPr>
          <w:rFonts w:hint="eastAsia" w:eastAsia="方正仿宋_GBK"/>
          <w:color w:val="auto"/>
          <w:kern w:val="0"/>
          <w:sz w:val="32"/>
          <w:szCs w:val="32"/>
          <w:highlight w:val="none"/>
          <w:lang w:val="en-US" w:eastAsia="zh-CN"/>
        </w:rPr>
        <w:t>打造</w:t>
      </w:r>
      <w:r>
        <w:rPr>
          <w:rFonts w:hint="eastAsia" w:eastAsia="方正仿宋_GBK"/>
          <w:color w:val="auto"/>
          <w:kern w:val="0"/>
          <w:sz w:val="32"/>
          <w:szCs w:val="32"/>
          <w:highlight w:val="none"/>
        </w:rPr>
        <w:t>傅厚岗、宁夏路等10条停车秩序综合整治街巷</w:t>
      </w:r>
      <w:r>
        <w:rPr>
          <w:rFonts w:hint="eastAsia" w:eastAsia="方正仿宋_GBK"/>
          <w:color w:val="auto"/>
          <w:kern w:val="0"/>
          <w:sz w:val="32"/>
          <w:szCs w:val="32"/>
          <w:highlight w:val="none"/>
          <w:lang w:eastAsia="zh-CN"/>
        </w:rPr>
        <w:t>。</w:t>
      </w:r>
      <w:r>
        <w:rPr>
          <w:rFonts w:hint="eastAsia" w:eastAsia="方正仿宋_GBK"/>
          <w:color w:val="auto"/>
          <w:kern w:val="0"/>
          <w:sz w:val="32"/>
          <w:szCs w:val="32"/>
          <w:highlight w:val="none"/>
        </w:rPr>
        <w:t>颐和路、城河村等城市更新经验做法多次被央视、新华社等媒体报道。推进老旧小区改造，完成芦席营70号等43个老旧小区改造，惠及居民5780户。</w:t>
      </w:r>
    </w:p>
    <w:p w14:paraId="7AE9C7EA">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kern w:val="0"/>
          <w:sz w:val="32"/>
          <w:szCs w:val="32"/>
          <w:highlight w:val="none"/>
        </w:rPr>
      </w:pPr>
      <w:r>
        <w:rPr>
          <w:rFonts w:eastAsia="方正仿宋_GBK"/>
          <w:b/>
          <w:bCs/>
          <w:color w:val="auto"/>
          <w:kern w:val="0"/>
          <w:sz w:val="32"/>
          <w:szCs w:val="32"/>
          <w:highlight w:val="none"/>
        </w:rPr>
        <w:t>城市管理</w:t>
      </w:r>
      <w:r>
        <w:rPr>
          <w:rFonts w:hint="eastAsia" w:eastAsia="方正仿宋_GBK"/>
          <w:b/>
          <w:bCs/>
          <w:color w:val="auto"/>
          <w:kern w:val="0"/>
          <w:sz w:val="32"/>
          <w:szCs w:val="32"/>
          <w:highlight w:val="none"/>
        </w:rPr>
        <w:t>精准精细</w:t>
      </w:r>
      <w:r>
        <w:rPr>
          <w:rFonts w:eastAsia="方正仿宋_GBK"/>
          <w:b/>
          <w:bCs/>
          <w:color w:val="auto"/>
          <w:kern w:val="0"/>
          <w:sz w:val="32"/>
          <w:szCs w:val="32"/>
          <w:highlight w:val="none"/>
        </w:rPr>
        <w:t>。</w:t>
      </w:r>
      <w:r>
        <w:rPr>
          <w:rFonts w:eastAsia="方正仿宋_GBK"/>
          <w:color w:val="auto"/>
          <w:kern w:val="0"/>
          <w:sz w:val="32"/>
          <w:szCs w:val="32"/>
          <w:highlight w:val="none"/>
        </w:rPr>
        <w:t>依托“一网统管”推进城市管理精细化、智能化</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提升重点区域管控效能</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协同市数治中心优化人流量计数、共享单车检测等AI算法，打通“识别告警</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工单生成-分拨处置”闭环，减轻人工巡查压力。</w:t>
      </w:r>
      <w:r>
        <w:rPr>
          <w:rFonts w:hint="eastAsia" w:eastAsia="方正仿宋_GBK"/>
          <w:color w:val="auto"/>
          <w:kern w:val="0"/>
          <w:sz w:val="32"/>
          <w:szCs w:val="32"/>
          <w:highlight w:val="none"/>
        </w:rPr>
        <w:t>完善城市服务功能，利用市政设施增设30处饮水点，提供便捷化服务。促进区域停车资源有效利用，打造南大苏浙停车场、扬子江隧道夹空层停车场周边停车资源共享场景2个</w:t>
      </w:r>
      <w:r>
        <w:rPr>
          <w:rFonts w:hint="eastAsia" w:eastAsia="方正仿宋_GBK"/>
          <w:color w:val="auto"/>
          <w:kern w:val="0"/>
          <w:sz w:val="32"/>
          <w:szCs w:val="32"/>
          <w:highlight w:val="none"/>
          <w:lang w:eastAsia="zh-CN"/>
        </w:rPr>
        <w:t>，</w:t>
      </w:r>
      <w:r>
        <w:rPr>
          <w:rFonts w:hint="eastAsia" w:eastAsia="方正仿宋_GBK"/>
          <w:color w:val="auto"/>
          <w:kern w:val="0"/>
          <w:sz w:val="32"/>
          <w:szCs w:val="32"/>
          <w:highlight w:val="none"/>
        </w:rPr>
        <w:t>全年新增1050个停车泊位。</w:t>
      </w:r>
    </w:p>
    <w:p w14:paraId="2FFE2BE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仿宋_GBK"/>
          <w:color w:val="auto"/>
          <w:sz w:val="32"/>
          <w:szCs w:val="32"/>
          <w:highlight w:val="none"/>
        </w:rPr>
      </w:pPr>
      <w:r>
        <w:rPr>
          <w:rFonts w:hint="eastAsia" w:eastAsia="方正仿宋_GBK"/>
          <w:b/>
          <w:bCs/>
          <w:color w:val="auto"/>
          <w:kern w:val="0"/>
          <w:sz w:val="32"/>
          <w:szCs w:val="32"/>
          <w:highlight w:val="none"/>
        </w:rPr>
        <w:t>生态环境</w:t>
      </w:r>
      <w:r>
        <w:rPr>
          <w:rFonts w:hint="eastAsia" w:eastAsia="方正仿宋_GBK"/>
          <w:b/>
          <w:bCs/>
          <w:color w:val="auto"/>
          <w:kern w:val="0"/>
          <w:sz w:val="32"/>
          <w:szCs w:val="32"/>
          <w:highlight w:val="none"/>
          <w:lang w:val="en-US" w:eastAsia="zh-CN"/>
        </w:rPr>
        <w:t>向好向优</w:t>
      </w:r>
      <w:r>
        <w:rPr>
          <w:rFonts w:eastAsia="方正仿宋_GBK"/>
          <w:b/>
          <w:bCs/>
          <w:color w:val="auto"/>
          <w:kern w:val="0"/>
          <w:sz w:val="32"/>
          <w:szCs w:val="32"/>
          <w:highlight w:val="none"/>
        </w:rPr>
        <w:t>。</w:t>
      </w:r>
      <w:r>
        <w:rPr>
          <w:rFonts w:hint="eastAsia" w:eastAsia="方正仿宋_GBK"/>
          <w:color w:val="auto"/>
          <w:kern w:val="0"/>
          <w:sz w:val="32"/>
          <w:szCs w:val="32"/>
          <w:highlight w:val="none"/>
        </w:rPr>
        <w:t>坚持</w:t>
      </w:r>
      <w:r>
        <w:rPr>
          <w:rFonts w:eastAsia="方正仿宋_GBK"/>
          <w:bCs/>
          <w:color w:val="auto"/>
          <w:sz w:val="32"/>
          <w:szCs w:val="32"/>
          <w:highlight w:val="none"/>
        </w:rPr>
        <w:t>水岸网系统化治理</w:t>
      </w:r>
      <w:r>
        <w:rPr>
          <w:rFonts w:hint="eastAsia" w:eastAsia="方正仿宋_GBK"/>
          <w:bCs/>
          <w:color w:val="auto"/>
          <w:sz w:val="32"/>
          <w:szCs w:val="32"/>
          <w:highlight w:val="none"/>
        </w:rPr>
        <w:t>，</w:t>
      </w:r>
      <w:r>
        <w:rPr>
          <w:rFonts w:hint="eastAsia" w:eastAsia="方正仿宋_GBK"/>
          <w:color w:val="auto"/>
          <w:kern w:val="0"/>
          <w:sz w:val="32"/>
          <w:szCs w:val="32"/>
          <w:highlight w:val="none"/>
        </w:rPr>
        <w:t>完成金川河水系重点河段生态清淤治理、梅家塘水环境提升等工程。</w:t>
      </w:r>
      <w:r>
        <w:rPr>
          <w:rFonts w:hint="eastAsia" w:eastAsia="方正仿宋_GBK"/>
          <w:color w:val="auto"/>
          <w:sz w:val="32"/>
          <w:szCs w:val="32"/>
          <w:highlight w:val="none"/>
          <w:lang w:eastAsia="zh-CN"/>
        </w:rPr>
        <w:t>创成</w:t>
      </w:r>
      <w:r>
        <w:rPr>
          <w:rFonts w:hint="eastAsia" w:eastAsia="方正仿宋_GBK"/>
          <w:color w:val="auto"/>
          <w:sz w:val="32"/>
          <w:szCs w:val="32"/>
          <w:highlight w:val="none"/>
        </w:rPr>
        <w:t>惠民河市级幸福河湖</w:t>
      </w:r>
      <w:r>
        <w:rPr>
          <w:rFonts w:hint="eastAsia" w:eastAsia="方正仿宋_GBK"/>
          <w:color w:val="auto"/>
          <w:sz w:val="32"/>
          <w:szCs w:val="32"/>
          <w:highlight w:val="none"/>
          <w:lang w:eastAsia="zh-CN"/>
        </w:rPr>
        <w:t>，积极推进</w:t>
      </w:r>
      <w:r>
        <w:rPr>
          <w:rFonts w:hint="eastAsia" w:eastAsia="方正仿宋_GBK"/>
          <w:color w:val="auto"/>
          <w:sz w:val="32"/>
          <w:szCs w:val="32"/>
          <w:highlight w:val="none"/>
        </w:rPr>
        <w:t>外秦淮河（鼓楼段）</w:t>
      </w:r>
      <w:r>
        <w:rPr>
          <w:rFonts w:hint="eastAsia" w:eastAsia="方正仿宋_GBK"/>
          <w:color w:val="auto"/>
          <w:sz w:val="32"/>
          <w:szCs w:val="32"/>
          <w:highlight w:val="none"/>
          <w:lang w:eastAsia="zh-CN"/>
        </w:rPr>
        <w:t>和</w:t>
      </w:r>
      <w:r>
        <w:rPr>
          <w:rFonts w:hint="eastAsia" w:eastAsia="方正仿宋_GBK"/>
          <w:color w:val="auto"/>
          <w:sz w:val="32"/>
          <w:szCs w:val="32"/>
          <w:highlight w:val="none"/>
        </w:rPr>
        <w:t>乌龙潭省级幸福河湖</w:t>
      </w:r>
      <w:r>
        <w:rPr>
          <w:rFonts w:hint="eastAsia" w:eastAsia="方正仿宋_GBK"/>
          <w:color w:val="auto"/>
          <w:sz w:val="32"/>
          <w:szCs w:val="32"/>
          <w:highlight w:val="none"/>
          <w:lang w:eastAsia="zh-CN"/>
        </w:rPr>
        <w:t>创建</w:t>
      </w:r>
      <w:r>
        <w:rPr>
          <w:rFonts w:hint="eastAsia" w:eastAsia="方正仿宋_GBK"/>
          <w:color w:val="auto"/>
          <w:sz w:val="32"/>
          <w:szCs w:val="32"/>
          <w:highlight w:val="none"/>
        </w:rPr>
        <w:t>，水域品质稳步提升，</w:t>
      </w:r>
      <w:r>
        <w:rPr>
          <w:rFonts w:eastAsia="方正仿宋_GBK"/>
          <w:color w:val="auto"/>
          <w:sz w:val="32"/>
          <w:szCs w:val="32"/>
          <w:highlight w:val="none"/>
        </w:rPr>
        <w:t>与河海大学联合打造金川河“幸福河湖”实践基地</w:t>
      </w:r>
      <w:r>
        <w:rPr>
          <w:rFonts w:hint="eastAsia" w:eastAsia="方正仿宋_GBK"/>
          <w:color w:val="auto"/>
          <w:sz w:val="32"/>
          <w:szCs w:val="32"/>
          <w:highlight w:val="none"/>
        </w:rPr>
        <w:t>，举办40余次护河志愿行动，积极营造全社会爱水护水氛围。</w:t>
      </w:r>
      <w:r>
        <w:rPr>
          <w:rFonts w:hint="eastAsia" w:eastAsia="方正仿宋_GBK"/>
          <w:color w:val="auto"/>
          <w:sz w:val="32"/>
          <w:szCs w:val="32"/>
          <w:highlight w:val="none"/>
          <w:lang w:val="en-US" w:eastAsia="zh-CN"/>
        </w:rPr>
        <w:t>全年空气质量优良天数比例</w:t>
      </w:r>
      <w:r>
        <w:rPr>
          <w:rFonts w:hint="eastAsia" w:eastAsia="方正仿宋_GBK"/>
          <w:color w:val="auto"/>
          <w:sz w:val="32"/>
          <w:szCs w:val="32"/>
          <w:highlight w:val="none"/>
        </w:rPr>
        <w:t>为</w:t>
      </w:r>
      <w:r>
        <w:rPr>
          <w:rFonts w:hint="eastAsia" w:eastAsia="方正仿宋_GBK"/>
          <w:color w:val="auto"/>
          <w:sz w:val="32"/>
          <w:szCs w:val="32"/>
          <w:highlight w:val="none"/>
          <w:lang w:val="en-US" w:eastAsia="zh-CN"/>
        </w:rPr>
        <w:t>83.8</w:t>
      </w:r>
      <w:r>
        <w:rPr>
          <w:rFonts w:hint="eastAsia" w:eastAsia="方正仿宋_GBK"/>
          <w:color w:val="auto"/>
          <w:sz w:val="32"/>
          <w:szCs w:val="32"/>
          <w:highlight w:val="none"/>
        </w:rPr>
        <w:t>%，PM</w:t>
      </w:r>
      <w:r>
        <w:rPr>
          <w:rFonts w:hint="eastAsia" w:eastAsia="方正仿宋_GBK"/>
          <w:color w:val="auto"/>
          <w:sz w:val="32"/>
          <w:szCs w:val="32"/>
          <w:highlight w:val="none"/>
          <w:vertAlign w:val="subscript"/>
        </w:rPr>
        <w:t>2.5</w:t>
      </w:r>
      <w:r>
        <w:rPr>
          <w:rFonts w:hint="eastAsia" w:eastAsia="方正仿宋_GBK"/>
          <w:color w:val="auto"/>
          <w:sz w:val="32"/>
          <w:szCs w:val="32"/>
          <w:highlight w:val="none"/>
        </w:rPr>
        <w:t>浓度为</w:t>
      </w:r>
      <w:r>
        <w:rPr>
          <w:rFonts w:hint="eastAsia" w:eastAsia="方正仿宋_GBK"/>
          <w:color w:val="auto"/>
          <w:sz w:val="32"/>
          <w:szCs w:val="32"/>
          <w:highlight w:val="none"/>
          <w:lang w:val="en-US" w:eastAsia="zh-CN"/>
        </w:rPr>
        <w:t>26.5</w:t>
      </w:r>
      <w:r>
        <w:rPr>
          <w:rFonts w:hint="eastAsia" w:eastAsia="方正仿宋_GBK"/>
          <w:color w:val="auto"/>
          <w:sz w:val="32"/>
          <w:szCs w:val="32"/>
          <w:highlight w:val="none"/>
        </w:rPr>
        <w:t>μg/m3</w:t>
      </w:r>
      <w:r>
        <w:rPr>
          <w:rFonts w:hint="eastAsia" w:eastAsia="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其中PM</w:t>
      </w:r>
      <w:r>
        <w:rPr>
          <w:rFonts w:hint="default" w:ascii="Times New Roman" w:hAnsi="Times New Roman" w:eastAsia="方正仿宋_GBK" w:cs="Times New Roman"/>
          <w:color w:val="auto"/>
          <w:sz w:val="32"/>
          <w:szCs w:val="32"/>
          <w:highlight w:val="none"/>
          <w:vertAlign w:val="subscript"/>
          <w:lang w:eastAsia="zh-CN"/>
        </w:rPr>
        <w:t>2.5</w:t>
      </w:r>
      <w:r>
        <w:rPr>
          <w:rFonts w:hint="default" w:ascii="Times New Roman" w:hAnsi="Times New Roman" w:eastAsia="方正仿宋_GBK" w:cs="Times New Roman"/>
          <w:color w:val="auto"/>
          <w:sz w:val="32"/>
          <w:szCs w:val="32"/>
          <w:highlight w:val="none"/>
          <w:lang w:eastAsia="zh-CN"/>
        </w:rPr>
        <w:t>年均浓度</w:t>
      </w:r>
      <w:r>
        <w:rPr>
          <w:rFonts w:hint="eastAsia" w:eastAsia="方正仿宋_GBK"/>
          <w:color w:val="auto"/>
          <w:sz w:val="32"/>
          <w:szCs w:val="32"/>
          <w:highlight w:val="none"/>
          <w:lang w:val="en-US" w:eastAsia="zh-CN"/>
        </w:rPr>
        <w:t>达历史最优水平</w:t>
      </w:r>
      <w:r>
        <w:rPr>
          <w:rFonts w:hint="eastAsia" w:eastAsia="方正仿宋_GBK"/>
          <w:color w:val="auto"/>
          <w:sz w:val="32"/>
          <w:szCs w:val="32"/>
          <w:highlight w:val="none"/>
        </w:rPr>
        <w:t>。夹江饮用水源地水质稳定达到</w:t>
      </w:r>
      <w:r>
        <w:rPr>
          <w:rFonts w:hint="eastAsia" w:eastAsia="方正仿宋_GBK"/>
          <w:color w:val="auto"/>
          <w:sz w:val="32"/>
          <w:szCs w:val="32"/>
          <w:highlight w:val="none"/>
          <w:lang w:eastAsia="zh-CN"/>
        </w:rPr>
        <w:t>Ⅱ类</w:t>
      </w:r>
      <w:r>
        <w:rPr>
          <w:rFonts w:hint="eastAsia" w:eastAsia="方正仿宋_GBK"/>
          <w:color w:val="auto"/>
          <w:sz w:val="32"/>
          <w:szCs w:val="32"/>
          <w:highlight w:val="none"/>
        </w:rPr>
        <w:t>标准，外秦淮河三汊河口等3个省考断面水质100%达标。</w:t>
      </w:r>
    </w:p>
    <w:p w14:paraId="44E8100B">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eastAsia="方正楷体_GBK"/>
          <w:color w:val="auto"/>
          <w:kern w:val="0"/>
          <w:sz w:val="32"/>
          <w:szCs w:val="32"/>
          <w:highlight w:val="none"/>
        </w:rPr>
      </w:pPr>
      <w:r>
        <w:rPr>
          <w:rFonts w:hint="eastAsia" w:eastAsia="方正楷体_GBK"/>
          <w:color w:val="auto"/>
          <w:kern w:val="0"/>
          <w:sz w:val="32"/>
          <w:szCs w:val="32"/>
          <w:highlight w:val="none"/>
        </w:rPr>
        <w:t>民生保障</w:t>
      </w:r>
      <w:r>
        <w:rPr>
          <w:rFonts w:hint="eastAsia" w:eastAsia="方正楷体_GBK"/>
          <w:color w:val="auto"/>
          <w:kern w:val="0"/>
          <w:sz w:val="32"/>
          <w:szCs w:val="32"/>
          <w:highlight w:val="none"/>
          <w:lang w:eastAsia="zh-CN"/>
        </w:rPr>
        <w:t>水平全面</w:t>
      </w:r>
      <w:r>
        <w:rPr>
          <w:rFonts w:hint="eastAsia" w:eastAsia="方正楷体_GBK"/>
          <w:color w:val="auto"/>
          <w:sz w:val="32"/>
          <w:szCs w:val="32"/>
          <w:highlight w:val="none"/>
          <w:lang w:eastAsia="zh-CN"/>
        </w:rPr>
        <w:t>改善</w:t>
      </w:r>
    </w:p>
    <w:p w14:paraId="646254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kern w:val="0"/>
          <w:sz w:val="32"/>
          <w:szCs w:val="32"/>
          <w:highlight w:val="none"/>
        </w:rPr>
      </w:pPr>
      <w:r>
        <w:rPr>
          <w:rFonts w:hint="eastAsia" w:eastAsia="方正仿宋_GBK"/>
          <w:b/>
          <w:bCs/>
          <w:color w:val="auto"/>
          <w:kern w:val="0"/>
          <w:sz w:val="32"/>
          <w:szCs w:val="32"/>
          <w:highlight w:val="none"/>
        </w:rPr>
        <w:t>守好就业</w:t>
      </w:r>
      <w:r>
        <w:rPr>
          <w:rFonts w:hint="eastAsia" w:eastAsia="方正仿宋_GBK"/>
          <w:b/>
          <w:bCs/>
          <w:color w:val="auto"/>
          <w:kern w:val="0"/>
          <w:sz w:val="32"/>
          <w:szCs w:val="32"/>
          <w:highlight w:val="none"/>
          <w:lang w:val="en-US" w:eastAsia="zh-CN"/>
        </w:rPr>
        <w:t>促进</w:t>
      </w:r>
      <w:r>
        <w:rPr>
          <w:rFonts w:hint="eastAsia" w:eastAsia="方正仿宋_GBK"/>
          <w:b/>
          <w:bCs/>
          <w:color w:val="auto"/>
          <w:kern w:val="0"/>
          <w:sz w:val="32"/>
          <w:szCs w:val="32"/>
          <w:highlight w:val="none"/>
        </w:rPr>
        <w:t>“基本盘”。</w:t>
      </w:r>
      <w:r>
        <w:rPr>
          <w:rFonts w:hint="eastAsia" w:eastAsia="方正仿宋_GBK"/>
          <w:color w:val="auto"/>
          <w:kern w:val="0"/>
          <w:sz w:val="32"/>
          <w:szCs w:val="32"/>
          <w:highlight w:val="none"/>
        </w:rPr>
        <w:t>举办线上线下招聘会140场，其中大型校园招聘11场，聚焦青年人才需求，</w:t>
      </w:r>
      <w:r>
        <w:rPr>
          <w:rFonts w:hint="eastAsia" w:eastAsia="方正仿宋_GBK"/>
          <w:color w:val="auto"/>
          <w:kern w:val="0"/>
          <w:sz w:val="32"/>
          <w:szCs w:val="32"/>
          <w:highlight w:val="none"/>
          <w:lang w:val="en-US" w:eastAsia="zh-CN"/>
        </w:rPr>
        <w:t>靶向</w:t>
      </w:r>
      <w:r>
        <w:rPr>
          <w:rFonts w:hint="eastAsia" w:eastAsia="方正仿宋_GBK"/>
          <w:color w:val="auto"/>
          <w:kern w:val="0"/>
          <w:sz w:val="32"/>
          <w:szCs w:val="32"/>
          <w:highlight w:val="none"/>
        </w:rPr>
        <w:t>推出“留宁</w:t>
      </w:r>
      <w:r>
        <w:rPr>
          <w:rFonts w:hint="eastAsia" w:eastAsia="方正仿宋_GBK"/>
          <w:color w:val="auto"/>
          <w:kern w:val="0"/>
          <w:sz w:val="32"/>
          <w:szCs w:val="32"/>
          <w:highlight w:val="none"/>
          <w:lang w:eastAsia="zh-CN"/>
        </w:rPr>
        <w:t>十</w:t>
      </w:r>
      <w:r>
        <w:rPr>
          <w:rFonts w:hint="eastAsia" w:eastAsia="方正仿宋_GBK"/>
          <w:color w:val="auto"/>
          <w:kern w:val="0"/>
          <w:sz w:val="32"/>
          <w:szCs w:val="32"/>
          <w:highlight w:val="none"/>
        </w:rPr>
        <w:t>条”</w:t>
      </w:r>
      <w:r>
        <w:rPr>
          <w:rStyle w:val="15"/>
          <w:rFonts w:hint="eastAsia" w:eastAsia="方正仿宋_GBK"/>
          <w:color w:val="auto"/>
          <w:kern w:val="0"/>
          <w:sz w:val="32"/>
          <w:szCs w:val="32"/>
          <w:highlight w:val="none"/>
        </w:rPr>
        <w:footnoteReference w:id="2"/>
      </w:r>
      <w:r>
        <w:rPr>
          <w:rFonts w:hint="eastAsia" w:eastAsia="方正仿宋_GBK"/>
          <w:color w:val="auto"/>
          <w:kern w:val="0"/>
          <w:sz w:val="32"/>
          <w:szCs w:val="32"/>
          <w:highlight w:val="none"/>
        </w:rPr>
        <w:t>政策，覆盖岗位开发、青年公寓等十大领域，形成覆盖人才发展全周期的支持网络。</w:t>
      </w:r>
      <w:r>
        <w:rPr>
          <w:rFonts w:hint="eastAsia" w:eastAsia="方正仿宋_GBK"/>
          <w:color w:val="auto"/>
          <w:kern w:val="0"/>
          <w:sz w:val="32"/>
          <w:szCs w:val="32"/>
          <w:highlight w:val="none"/>
          <w:lang w:val="en-US" w:eastAsia="zh-CN"/>
        </w:rPr>
        <w:t>建成4</w:t>
      </w:r>
      <w:r>
        <w:rPr>
          <w:rFonts w:hint="eastAsia" w:eastAsia="方正仿宋_GBK"/>
          <w:color w:val="auto"/>
          <w:kern w:val="0"/>
          <w:sz w:val="32"/>
          <w:szCs w:val="32"/>
          <w:highlight w:val="none"/>
        </w:rPr>
        <w:t>个“家门口”就业服务站，为高校毕业生等重点群体筹集岗位2.7万个</w:t>
      </w:r>
      <w:r>
        <w:rPr>
          <w:rFonts w:hint="eastAsia" w:eastAsia="方正仿宋_GBK"/>
          <w:color w:val="auto"/>
          <w:kern w:val="0"/>
          <w:sz w:val="32"/>
          <w:szCs w:val="32"/>
          <w:highlight w:val="none"/>
          <w:lang w:eastAsia="zh-CN"/>
        </w:rPr>
        <w:t>，</w:t>
      </w:r>
      <w:r>
        <w:rPr>
          <w:rFonts w:hint="eastAsia" w:eastAsia="方正仿宋_GBK"/>
          <w:color w:val="auto"/>
          <w:kern w:val="0"/>
          <w:sz w:val="32"/>
          <w:szCs w:val="32"/>
          <w:highlight w:val="none"/>
          <w:lang w:val="en-US" w:eastAsia="zh-CN"/>
        </w:rPr>
        <w:t>预计全年</w:t>
      </w:r>
      <w:r>
        <w:rPr>
          <w:rFonts w:hint="eastAsia" w:eastAsia="方正仿宋_GBK"/>
          <w:color w:val="auto"/>
          <w:kern w:val="0"/>
          <w:sz w:val="32"/>
          <w:szCs w:val="32"/>
          <w:highlight w:val="none"/>
        </w:rPr>
        <w:t>新增城镇就业人数</w:t>
      </w:r>
      <w:r>
        <w:rPr>
          <w:rFonts w:hint="eastAsia" w:eastAsia="方正仿宋_GBK"/>
          <w:color w:val="auto"/>
          <w:kern w:val="0"/>
          <w:sz w:val="32"/>
          <w:szCs w:val="32"/>
          <w:highlight w:val="none"/>
          <w:lang w:val="en-US" w:eastAsia="zh-CN"/>
        </w:rPr>
        <w:t>超</w:t>
      </w:r>
      <w:r>
        <w:rPr>
          <w:rFonts w:hint="eastAsia" w:eastAsia="方正仿宋_GBK"/>
          <w:color w:val="auto"/>
          <w:kern w:val="0"/>
          <w:sz w:val="32"/>
          <w:szCs w:val="32"/>
          <w:highlight w:val="none"/>
        </w:rPr>
        <w:t>2</w:t>
      </w:r>
      <w:r>
        <w:rPr>
          <w:rFonts w:hint="eastAsia" w:eastAsia="方正仿宋_GBK"/>
          <w:color w:val="auto"/>
          <w:kern w:val="0"/>
          <w:sz w:val="32"/>
          <w:szCs w:val="32"/>
          <w:highlight w:val="none"/>
          <w:lang w:val="en-US" w:eastAsia="zh-CN"/>
        </w:rPr>
        <w:t>.2万</w:t>
      </w:r>
      <w:r>
        <w:rPr>
          <w:rFonts w:hint="eastAsia" w:eastAsia="方正仿宋_GBK"/>
          <w:color w:val="auto"/>
          <w:kern w:val="0"/>
          <w:sz w:val="32"/>
          <w:szCs w:val="32"/>
          <w:highlight w:val="none"/>
        </w:rPr>
        <w:t>人，离校未就业高校毕业生总体就业率达94.01%。</w:t>
      </w:r>
    </w:p>
    <w:p w14:paraId="44835F0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highlight w:val="none"/>
        </w:rPr>
      </w:pPr>
      <w:r>
        <w:rPr>
          <w:rFonts w:hint="eastAsia" w:eastAsia="方正仿宋_GBK"/>
          <w:b/>
          <w:bCs/>
          <w:color w:val="auto"/>
          <w:kern w:val="0"/>
          <w:sz w:val="32"/>
          <w:szCs w:val="32"/>
          <w:highlight w:val="none"/>
          <w:lang w:val="en-US" w:eastAsia="zh-CN"/>
        </w:rPr>
        <w:t>织密社会保障“安全网”</w:t>
      </w:r>
      <w:r>
        <w:rPr>
          <w:rFonts w:eastAsia="方正仿宋_GBK"/>
          <w:b/>
          <w:bCs/>
          <w:color w:val="auto"/>
          <w:kern w:val="0"/>
          <w:sz w:val="32"/>
          <w:szCs w:val="32"/>
          <w:highlight w:val="none"/>
        </w:rPr>
        <w:t>。</w:t>
      </w:r>
      <w:r>
        <w:rPr>
          <w:rFonts w:hint="eastAsia" w:eastAsia="方正仿宋_GBK"/>
          <w:color w:val="auto"/>
          <w:sz w:val="32"/>
          <w:szCs w:val="32"/>
          <w:highlight w:val="none"/>
        </w:rPr>
        <w:t>落地全市首批滴滴助老车站</w:t>
      </w:r>
      <w:r>
        <w:rPr>
          <w:rFonts w:hint="eastAsia" w:eastAsia="方正仿宋_GBK"/>
          <w:color w:val="auto"/>
          <w:sz w:val="32"/>
          <w:szCs w:val="32"/>
          <w:highlight w:val="none"/>
          <w:lang w:eastAsia="zh-CN"/>
        </w:rPr>
        <w:t>，</w:t>
      </w:r>
      <w:r>
        <w:rPr>
          <w:rFonts w:hint="eastAsia" w:eastAsia="方正仿宋_GBK"/>
          <w:color w:val="auto"/>
          <w:sz w:val="32"/>
          <w:szCs w:val="32"/>
          <w:highlight w:val="none"/>
        </w:rPr>
        <w:t>完成适老化改造1156户、数量全市第一，“银铃花</w:t>
      </w:r>
      <w:r>
        <w:rPr>
          <w:rStyle w:val="15"/>
          <w:rFonts w:eastAsia="方正仿宋_GBK"/>
          <w:color w:val="auto"/>
          <w:sz w:val="32"/>
          <w:szCs w:val="32"/>
          <w:highlight w:val="none"/>
        </w:rPr>
        <w:footnoteReference w:id="3"/>
      </w:r>
      <w:r>
        <w:rPr>
          <w:rFonts w:hint="eastAsia" w:eastAsia="方正仿宋_GBK"/>
          <w:color w:val="auto"/>
          <w:sz w:val="32"/>
          <w:szCs w:val="32"/>
          <w:highlight w:val="none"/>
        </w:rPr>
        <w:t>”服务品牌</w:t>
      </w:r>
      <w:r>
        <w:rPr>
          <w:rFonts w:hint="eastAsia" w:eastAsia="方正仿宋_GBK"/>
          <w:color w:val="auto"/>
          <w:sz w:val="32"/>
          <w:szCs w:val="32"/>
          <w:highlight w:val="none"/>
          <w:lang w:val="en-US" w:eastAsia="zh-CN"/>
        </w:rPr>
        <w:t>入选</w:t>
      </w:r>
      <w:r>
        <w:rPr>
          <w:rFonts w:hint="eastAsia" w:eastAsia="方正仿宋_GBK"/>
          <w:color w:val="auto"/>
          <w:sz w:val="32"/>
          <w:szCs w:val="32"/>
          <w:highlight w:val="none"/>
        </w:rPr>
        <w:t>省发改委银发经济典型案例，“技防+人防”探访关爱改革</w:t>
      </w:r>
      <w:r>
        <w:rPr>
          <w:rFonts w:hint="eastAsia" w:eastAsia="方正仿宋_GBK"/>
          <w:color w:val="auto"/>
          <w:sz w:val="32"/>
          <w:szCs w:val="32"/>
          <w:highlight w:val="none"/>
          <w:lang w:val="en-US" w:eastAsia="zh-CN"/>
        </w:rPr>
        <w:t>获</w:t>
      </w:r>
      <w:r>
        <w:rPr>
          <w:rFonts w:hint="eastAsia" w:eastAsia="方正仿宋_GBK"/>
          <w:color w:val="auto"/>
          <w:sz w:val="32"/>
          <w:szCs w:val="32"/>
          <w:highlight w:val="none"/>
        </w:rPr>
        <w:t>民政部改革创新案例一等奖</w:t>
      </w:r>
      <w:r>
        <w:rPr>
          <w:rFonts w:hint="eastAsia" w:eastAsia="方正仿宋_GBK"/>
          <w:color w:val="auto"/>
          <w:sz w:val="32"/>
          <w:szCs w:val="32"/>
          <w:highlight w:val="none"/>
          <w:lang w:eastAsia="zh-CN"/>
        </w:rPr>
        <w:t>。优化社会救助体系，困难群体救助帮扶覆盖率保持100%。</w:t>
      </w:r>
      <w:r>
        <w:rPr>
          <w:rFonts w:hint="eastAsia" w:eastAsia="方正仿宋_GBK"/>
          <w:color w:val="auto"/>
          <w:sz w:val="32"/>
          <w:szCs w:val="32"/>
          <w:highlight w:val="none"/>
        </w:rPr>
        <w:t>开展“鼓利宁参保·乐为您护航”社会保险扩面宣传活动149场，</w:t>
      </w:r>
      <w:r>
        <w:rPr>
          <w:rFonts w:hint="eastAsia" w:eastAsia="方正仿宋_GBK"/>
          <w:color w:val="auto"/>
          <w:sz w:val="32"/>
          <w:szCs w:val="32"/>
          <w:highlight w:val="none"/>
          <w:lang w:val="en-US" w:eastAsia="zh-CN"/>
        </w:rPr>
        <w:t>全区</w:t>
      </w:r>
      <w:r>
        <w:rPr>
          <w:rFonts w:hint="eastAsia" w:eastAsia="方正仿宋_GBK"/>
          <w:color w:val="auto"/>
          <w:sz w:val="32"/>
          <w:szCs w:val="32"/>
          <w:highlight w:val="none"/>
        </w:rPr>
        <w:t>社保覆盖面达95%以上</w:t>
      </w:r>
      <w:r>
        <w:rPr>
          <w:rFonts w:hint="eastAsia" w:eastAsia="方正仿宋_GBK" w:cs="Times New Roman"/>
          <w:color w:val="auto"/>
          <w:kern w:val="2"/>
          <w:sz w:val="32"/>
          <w:szCs w:val="32"/>
          <w:highlight w:val="none"/>
          <w:lang w:val="en-US" w:eastAsia="zh-CN" w:bidi="ar-SA"/>
        </w:rPr>
        <w:t>，居主城前列</w:t>
      </w:r>
      <w:r>
        <w:rPr>
          <w:rFonts w:hint="eastAsia" w:eastAsia="方正仿宋_GBK"/>
          <w:color w:val="auto"/>
          <w:sz w:val="32"/>
          <w:szCs w:val="32"/>
          <w:highlight w:val="none"/>
          <w:lang w:eastAsia="zh-CN"/>
        </w:rPr>
        <w:t>。</w:t>
      </w:r>
      <w:r>
        <w:rPr>
          <w:rFonts w:hint="eastAsia" w:ascii="方正仿宋_GBK" w:hAnsi="Calibri" w:eastAsia="方正仿宋_GBK"/>
          <w:color w:val="auto"/>
          <w:sz w:val="32"/>
          <w:szCs w:val="32"/>
          <w:highlight w:val="none"/>
        </w:rPr>
        <w:t>做优残疾人群照护康复，</w:t>
      </w:r>
      <w:r>
        <w:rPr>
          <w:rFonts w:hint="eastAsia" w:eastAsia="方正仿宋_GBK"/>
          <w:color w:val="auto"/>
          <w:kern w:val="0"/>
          <w:sz w:val="32"/>
          <w:szCs w:val="32"/>
          <w:highlight w:val="none"/>
        </w:rPr>
        <w:t>落实“精康融合行动</w:t>
      </w:r>
      <w:r>
        <w:rPr>
          <w:rStyle w:val="15"/>
          <w:rFonts w:eastAsia="方正仿宋_GBK"/>
          <w:color w:val="auto"/>
          <w:sz w:val="32"/>
          <w:szCs w:val="32"/>
          <w:highlight w:val="none"/>
        </w:rPr>
        <w:footnoteReference w:id="4"/>
      </w:r>
      <w:r>
        <w:rPr>
          <w:rFonts w:hint="eastAsia" w:eastAsia="方正仿宋_GBK"/>
          <w:color w:val="auto"/>
          <w:kern w:val="0"/>
          <w:sz w:val="32"/>
          <w:szCs w:val="32"/>
          <w:highlight w:val="none"/>
        </w:rPr>
        <w:t>”，</w:t>
      </w:r>
      <w:r>
        <w:rPr>
          <w:rFonts w:eastAsia="方正仿宋_GBK"/>
          <w:color w:val="auto"/>
          <w:kern w:val="0"/>
          <w:sz w:val="32"/>
          <w:szCs w:val="32"/>
          <w:highlight w:val="none"/>
        </w:rPr>
        <w:t>建成3家省级康复服务点</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8家宁康驿站</w:t>
      </w:r>
      <w:r>
        <w:rPr>
          <w:rFonts w:hint="eastAsia" w:eastAsia="方正仿宋_GBK"/>
          <w:color w:val="auto"/>
          <w:kern w:val="0"/>
          <w:sz w:val="32"/>
          <w:szCs w:val="32"/>
          <w:highlight w:val="none"/>
        </w:rPr>
        <w:t>，</w:t>
      </w:r>
      <w:r>
        <w:rPr>
          <w:rFonts w:eastAsia="方正仿宋_GBK"/>
          <w:color w:val="auto"/>
          <w:kern w:val="0"/>
          <w:sz w:val="32"/>
          <w:szCs w:val="32"/>
          <w:highlight w:val="none"/>
        </w:rPr>
        <w:t>形成</w:t>
      </w:r>
      <w:r>
        <w:rPr>
          <w:rFonts w:hint="eastAsia" w:eastAsia="方正仿宋_GBK"/>
          <w:color w:val="auto"/>
          <w:kern w:val="0"/>
          <w:sz w:val="32"/>
          <w:szCs w:val="32"/>
          <w:highlight w:val="none"/>
        </w:rPr>
        <w:t>“</w:t>
      </w:r>
      <w:r>
        <w:rPr>
          <w:rFonts w:eastAsia="方正仿宋_GBK"/>
          <w:color w:val="auto"/>
          <w:kern w:val="0"/>
          <w:sz w:val="32"/>
          <w:szCs w:val="32"/>
          <w:highlight w:val="none"/>
        </w:rPr>
        <w:t>家园+驿站</w:t>
      </w:r>
      <w:r>
        <w:rPr>
          <w:rFonts w:hint="eastAsia" w:eastAsia="方正仿宋_GBK"/>
          <w:color w:val="auto"/>
          <w:kern w:val="0"/>
          <w:sz w:val="32"/>
          <w:szCs w:val="32"/>
          <w:highlight w:val="none"/>
        </w:rPr>
        <w:t>”</w:t>
      </w:r>
      <w:r>
        <w:rPr>
          <w:rFonts w:eastAsia="方正仿宋_GBK"/>
          <w:color w:val="auto"/>
          <w:kern w:val="0"/>
          <w:sz w:val="32"/>
          <w:szCs w:val="32"/>
          <w:highlight w:val="none"/>
        </w:rPr>
        <w:t>服务网络</w:t>
      </w:r>
      <w:r>
        <w:rPr>
          <w:rFonts w:hint="eastAsia" w:eastAsia="方正仿宋_GBK"/>
          <w:color w:val="auto"/>
          <w:sz w:val="32"/>
          <w:szCs w:val="32"/>
          <w:highlight w:val="none"/>
        </w:rPr>
        <w:t>。</w:t>
      </w:r>
    </w:p>
    <w:p w14:paraId="41884B61">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highlight w:val="none"/>
          <w:lang w:eastAsia="zh-CN"/>
        </w:rPr>
      </w:pPr>
      <w:r>
        <w:rPr>
          <w:rFonts w:hint="eastAsia" w:eastAsia="方正仿宋_GBK"/>
          <w:b/>
          <w:bCs/>
          <w:color w:val="auto"/>
          <w:sz w:val="32"/>
          <w:szCs w:val="32"/>
          <w:highlight w:val="none"/>
          <w:lang w:val="en-US" w:eastAsia="zh-CN"/>
        </w:rPr>
        <w:t>筑牢</w:t>
      </w:r>
      <w:r>
        <w:rPr>
          <w:rFonts w:hint="eastAsia" w:eastAsia="方正仿宋_GBK"/>
          <w:b/>
          <w:bCs/>
          <w:color w:val="auto"/>
          <w:sz w:val="32"/>
          <w:szCs w:val="32"/>
          <w:highlight w:val="none"/>
        </w:rPr>
        <w:t>公共服务</w:t>
      </w:r>
      <w:r>
        <w:rPr>
          <w:rFonts w:hint="eastAsia" w:eastAsia="方正仿宋_GBK"/>
          <w:b/>
          <w:bCs/>
          <w:color w:val="auto"/>
          <w:sz w:val="32"/>
          <w:szCs w:val="32"/>
          <w:highlight w:val="none"/>
          <w:lang w:eastAsia="zh-CN"/>
        </w:rPr>
        <w:t>“</w:t>
      </w:r>
      <w:r>
        <w:rPr>
          <w:rFonts w:hint="eastAsia" w:eastAsia="方正仿宋_GBK"/>
          <w:b/>
          <w:bCs/>
          <w:color w:val="auto"/>
          <w:sz w:val="32"/>
          <w:szCs w:val="32"/>
          <w:highlight w:val="none"/>
          <w:lang w:val="en-US" w:eastAsia="zh-CN"/>
        </w:rPr>
        <w:t>强基座</w:t>
      </w:r>
      <w:r>
        <w:rPr>
          <w:rFonts w:hint="eastAsia" w:eastAsia="方正仿宋_GBK"/>
          <w:b/>
          <w:bCs/>
          <w:color w:val="auto"/>
          <w:sz w:val="32"/>
          <w:szCs w:val="32"/>
          <w:highlight w:val="none"/>
          <w:lang w:eastAsia="zh-CN"/>
        </w:rPr>
        <w:t>”</w:t>
      </w:r>
      <w:r>
        <w:rPr>
          <w:rFonts w:eastAsia="方正仿宋_GBK"/>
          <w:b/>
          <w:bCs/>
          <w:color w:val="auto"/>
          <w:sz w:val="32"/>
          <w:szCs w:val="32"/>
          <w:highlight w:val="none"/>
        </w:rPr>
        <w:t>。</w:t>
      </w:r>
      <w:r>
        <w:rPr>
          <w:rFonts w:hint="eastAsia" w:eastAsia="方正仿宋_GBK"/>
          <w:color w:val="auto"/>
          <w:sz w:val="32"/>
          <w:szCs w:val="32"/>
          <w:highlight w:val="none"/>
        </w:rPr>
        <w:t>扎实推进教育强区建设</w:t>
      </w:r>
      <w:r>
        <w:rPr>
          <w:rFonts w:hint="eastAsia" w:eastAsia="方正仿宋_GBK"/>
          <w:color w:val="auto"/>
          <w:sz w:val="32"/>
          <w:szCs w:val="32"/>
          <w:highlight w:val="none"/>
          <w:lang w:eastAsia="zh-CN"/>
        </w:rPr>
        <w:t>，</w:t>
      </w:r>
      <w:r>
        <w:rPr>
          <w:rFonts w:eastAsia="方正仿宋_GBK"/>
          <w:color w:val="auto"/>
          <w:sz w:val="32"/>
          <w:szCs w:val="32"/>
          <w:highlight w:val="none"/>
        </w:rPr>
        <w:t>普惠性幼儿园覆盖率</w:t>
      </w:r>
      <w:r>
        <w:rPr>
          <w:rFonts w:hint="eastAsia" w:eastAsia="方正仿宋_GBK"/>
          <w:color w:val="auto"/>
          <w:sz w:val="32"/>
          <w:szCs w:val="32"/>
          <w:highlight w:val="none"/>
          <w:lang w:val="en-US" w:eastAsia="zh-CN"/>
        </w:rPr>
        <w:t>达</w:t>
      </w:r>
      <w:r>
        <w:rPr>
          <w:rFonts w:eastAsia="方正仿宋_GBK"/>
          <w:color w:val="auto"/>
          <w:sz w:val="32"/>
          <w:szCs w:val="32"/>
          <w:highlight w:val="none"/>
        </w:rPr>
        <w:t>89.48%</w:t>
      </w:r>
      <w:r>
        <w:rPr>
          <w:rFonts w:hint="eastAsia" w:eastAsia="方正仿宋_GBK"/>
          <w:color w:val="auto"/>
          <w:sz w:val="32"/>
          <w:szCs w:val="32"/>
          <w:highlight w:val="none"/>
          <w:lang w:eastAsia="zh-CN"/>
        </w:rPr>
        <w:t>、</w:t>
      </w:r>
      <w:r>
        <w:rPr>
          <w:rFonts w:hint="eastAsia" w:eastAsia="方正仿宋_GBK"/>
          <w:color w:val="auto"/>
          <w:sz w:val="32"/>
          <w:szCs w:val="32"/>
          <w:highlight w:val="none"/>
        </w:rPr>
        <w:t>省优质幼儿园覆盖率达90.19%</w:t>
      </w:r>
      <w:r>
        <w:rPr>
          <w:rFonts w:hint="eastAsia" w:eastAsia="方正仿宋_GBK"/>
          <w:color w:val="auto"/>
          <w:sz w:val="32"/>
          <w:szCs w:val="32"/>
          <w:highlight w:val="none"/>
          <w:lang w:eastAsia="zh-CN"/>
        </w:rPr>
        <w:t>、义务教育优质均衡比例达100%，</w:t>
      </w:r>
      <w:r>
        <w:rPr>
          <w:rFonts w:hint="eastAsia" w:eastAsia="方正仿宋_GBK"/>
          <w:color w:val="auto"/>
          <w:sz w:val="32"/>
          <w:szCs w:val="32"/>
          <w:highlight w:val="none"/>
        </w:rPr>
        <w:t>获评全国义务教育优质均衡发展区、首批江苏省家校社协同育人“教联体”建设实验区。抓实15分钟健康服务圈建设，</w:t>
      </w:r>
      <w:r>
        <w:rPr>
          <w:rFonts w:hint="eastAsia" w:eastAsia="方正仿宋_GBK"/>
          <w:color w:val="auto"/>
          <w:sz w:val="32"/>
          <w:szCs w:val="32"/>
          <w:highlight w:val="none"/>
          <w:lang w:eastAsia="zh-CN"/>
        </w:rPr>
        <w:t>在龙江片区新设江苏省消防医院取药点1个，</w:t>
      </w:r>
      <w:r>
        <w:rPr>
          <w:rFonts w:hint="eastAsia" w:eastAsia="方正仿宋_GBK"/>
          <w:color w:val="auto"/>
          <w:sz w:val="32"/>
          <w:szCs w:val="32"/>
          <w:highlight w:val="none"/>
        </w:rPr>
        <w:t>联合市级单位开通4条就医便民巴士，每千人口医疗卫生机构床位数达25.51张</w:t>
      </w:r>
      <w:r>
        <w:rPr>
          <w:rFonts w:hint="eastAsia" w:eastAsia="方正仿宋_GBK"/>
          <w:color w:val="auto"/>
          <w:sz w:val="32"/>
          <w:szCs w:val="32"/>
          <w:highlight w:val="none"/>
          <w:lang w:eastAsia="zh-CN"/>
        </w:rPr>
        <w:t>，居民电子健康档案规范化覆盖率超过66%，并实现向签约居民开放。</w:t>
      </w:r>
    </w:p>
    <w:p w14:paraId="1D738B67">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rPr>
      </w:pPr>
      <w:r>
        <w:rPr>
          <w:rFonts w:eastAsia="方正楷体_GBK"/>
          <w:color w:val="auto"/>
          <w:sz w:val="32"/>
          <w:szCs w:val="32"/>
          <w:shd w:val="clear" w:color="auto" w:fill="FFFFFF"/>
        </w:rPr>
        <w:t>（</w:t>
      </w:r>
      <w:r>
        <w:rPr>
          <w:rFonts w:hint="eastAsia" w:eastAsia="方正楷体_GBK"/>
          <w:color w:val="auto"/>
          <w:sz w:val="32"/>
          <w:szCs w:val="32"/>
          <w:shd w:val="clear" w:color="auto" w:fill="FFFFFF"/>
          <w:lang w:val="en-US" w:eastAsia="zh-CN"/>
        </w:rPr>
        <w:t>五</w:t>
      </w:r>
      <w:r>
        <w:rPr>
          <w:rFonts w:eastAsia="方正楷体_GBK"/>
          <w:color w:val="auto"/>
          <w:sz w:val="32"/>
          <w:szCs w:val="32"/>
          <w:shd w:val="clear" w:color="auto" w:fill="FFFFFF"/>
        </w:rPr>
        <w:t>）</w:t>
      </w:r>
      <w:r>
        <w:rPr>
          <w:rFonts w:hint="eastAsia" w:eastAsia="方正楷体_GBK"/>
          <w:color w:val="auto"/>
          <w:sz w:val="32"/>
          <w:szCs w:val="32"/>
          <w:shd w:val="clear" w:color="auto" w:fill="FFFFFF"/>
        </w:rPr>
        <w:t>安全发展</w:t>
      </w:r>
      <w:r>
        <w:rPr>
          <w:rFonts w:hint="eastAsia" w:eastAsia="方正楷体_GBK"/>
          <w:color w:val="auto"/>
          <w:sz w:val="32"/>
          <w:szCs w:val="32"/>
          <w:shd w:val="clear" w:color="auto" w:fill="FFFFFF"/>
          <w:lang w:eastAsia="zh-CN"/>
        </w:rPr>
        <w:t>根基</w:t>
      </w:r>
      <w:r>
        <w:rPr>
          <w:rFonts w:hint="eastAsia" w:eastAsia="方正楷体_GBK"/>
          <w:color w:val="auto"/>
          <w:sz w:val="32"/>
          <w:szCs w:val="32"/>
          <w:shd w:val="clear" w:color="auto" w:fill="FFFFFF"/>
        </w:rPr>
        <w:t>更加牢固</w:t>
      </w:r>
    </w:p>
    <w:p w14:paraId="34ADDB05">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rPr>
      </w:pPr>
      <w:r>
        <w:rPr>
          <w:rFonts w:hint="eastAsia" w:eastAsia="方正仿宋_GBK"/>
          <w:b/>
          <w:bCs/>
          <w:color w:val="auto"/>
          <w:sz w:val="32"/>
          <w:szCs w:val="32"/>
        </w:rPr>
        <w:t>筑牢消防安全防线</w:t>
      </w:r>
      <w:r>
        <w:rPr>
          <w:rFonts w:hint="eastAsia" w:eastAsia="方正仿宋_GBK"/>
          <w:b/>
          <w:bCs/>
          <w:color w:val="auto"/>
          <w:sz w:val="32"/>
          <w:szCs w:val="32"/>
          <w:lang w:eastAsia="zh-CN"/>
        </w:rPr>
        <w:t>。</w:t>
      </w:r>
      <w:r>
        <w:rPr>
          <w:rFonts w:hint="eastAsia" w:eastAsia="方正仿宋_GBK"/>
          <w:color w:val="auto"/>
          <w:sz w:val="32"/>
          <w:szCs w:val="32"/>
          <w:lang w:eastAsia="zh-CN"/>
        </w:rPr>
        <w:t>深化安全生产治本攻坚三年行动，13个街道应急管理－消防一体化工作站全部实体化运行，建成住宅小区微型消防站</w:t>
      </w:r>
      <w:r>
        <w:rPr>
          <w:rFonts w:hint="eastAsia" w:eastAsia="方正仿宋_GBK"/>
          <w:color w:val="auto"/>
          <w:sz w:val="32"/>
          <w:szCs w:val="32"/>
          <w:lang w:val="en-US" w:eastAsia="zh-CN"/>
        </w:rPr>
        <w:t>267</w:t>
      </w:r>
      <w:r>
        <w:rPr>
          <w:rFonts w:hint="eastAsia" w:eastAsia="方正仿宋_GBK"/>
          <w:color w:val="auto"/>
          <w:sz w:val="32"/>
          <w:szCs w:val="32"/>
          <w:lang w:eastAsia="zh-CN"/>
        </w:rPr>
        <w:t>个，</w:t>
      </w:r>
      <w:r>
        <w:rPr>
          <w:rFonts w:hint="eastAsia" w:eastAsia="方正仿宋_GBK"/>
          <w:color w:val="auto"/>
          <w:sz w:val="32"/>
          <w:szCs w:val="32"/>
        </w:rPr>
        <w:t>建成五佰村等消防站点并投入使用。</w:t>
      </w:r>
      <w:r>
        <w:rPr>
          <w:rFonts w:eastAsia="方正仿宋_GBK"/>
          <w:color w:val="auto"/>
          <w:sz w:val="32"/>
          <w:szCs w:val="32"/>
        </w:rPr>
        <w:t>累计排查</w:t>
      </w:r>
      <w:r>
        <w:rPr>
          <w:rFonts w:hint="eastAsia" w:eastAsia="方正仿宋_GBK"/>
          <w:color w:val="auto"/>
          <w:sz w:val="32"/>
          <w:szCs w:val="32"/>
        </w:rPr>
        <w:t>随园大厦</w:t>
      </w:r>
      <w:r>
        <w:rPr>
          <w:rFonts w:hint="eastAsia" w:eastAsia="方正仿宋_GBK"/>
          <w:color w:val="auto"/>
          <w:sz w:val="32"/>
          <w:szCs w:val="32"/>
          <w:lang w:val="en-US" w:eastAsia="zh-CN"/>
        </w:rPr>
        <w:t>等</w:t>
      </w:r>
      <w:r>
        <w:rPr>
          <w:rFonts w:hint="eastAsia" w:eastAsia="方正仿宋_GBK"/>
          <w:color w:val="auto"/>
          <w:sz w:val="32"/>
          <w:szCs w:val="32"/>
        </w:rPr>
        <w:t>199家多业态混合经营场所，整改火灾隐患142处。</w:t>
      </w:r>
    </w:p>
    <w:p w14:paraId="4644D7AC">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仿宋_GBK"/>
          <w:b/>
          <w:bCs/>
          <w:color w:val="auto"/>
          <w:sz w:val="32"/>
          <w:szCs w:val="40"/>
        </w:rPr>
      </w:pPr>
      <w:r>
        <w:rPr>
          <w:rFonts w:hint="eastAsia" w:eastAsia="方正仿宋_GBK"/>
          <w:b/>
          <w:bCs/>
          <w:color w:val="auto"/>
          <w:sz w:val="32"/>
          <w:szCs w:val="32"/>
        </w:rPr>
        <w:t>严控重点领域风险。</w:t>
      </w:r>
      <w:r>
        <w:rPr>
          <w:rFonts w:hint="eastAsia" w:eastAsia="方正仿宋_GBK"/>
          <w:color w:val="auto"/>
          <w:sz w:val="32"/>
          <w:szCs w:val="32"/>
        </w:rPr>
        <w:t>建立区级防范和打击非法金融活动工作机制，落细落实金融风险防范化解各项任务</w:t>
      </w:r>
      <w:r>
        <w:rPr>
          <w:rFonts w:hint="eastAsia" w:eastAsia="方正仿宋_GBK"/>
          <w:color w:val="auto"/>
          <w:sz w:val="32"/>
          <w:szCs w:val="32"/>
          <w:lang w:eastAsia="zh-CN"/>
        </w:rPr>
        <w:t>，</w:t>
      </w:r>
      <w:r>
        <w:rPr>
          <w:rFonts w:hint="eastAsia" w:eastAsia="方正仿宋_GBK"/>
          <w:color w:val="auto"/>
          <w:sz w:val="32"/>
          <w:szCs w:val="32"/>
        </w:rPr>
        <w:t>印发《鼓楼区金融风险源头防控工作方案》，形成“数据局提示推送、属地街道走访摸排、多部门联合研判”源头防控机制，</w:t>
      </w:r>
      <w:r>
        <w:rPr>
          <w:rFonts w:hint="eastAsia" w:eastAsia="方正仿宋_GBK"/>
          <w:color w:val="auto"/>
          <w:sz w:val="32"/>
          <w:szCs w:val="32"/>
          <w:highlight w:val="none"/>
        </w:rPr>
        <w:t>完成1209家迁入企业风险核查。</w:t>
      </w:r>
      <w:r>
        <w:rPr>
          <w:rFonts w:hint="eastAsia" w:eastAsia="方正仿宋_GBK"/>
          <w:color w:val="auto"/>
          <w:sz w:val="32"/>
          <w:szCs w:val="32"/>
        </w:rPr>
        <w:t>开展“无堂食外卖”全区覆盖性排查，累计排查无堂食外卖商家558家次，发现风险隐患516处</w:t>
      </w:r>
      <w:r>
        <w:rPr>
          <w:rFonts w:hint="eastAsia" w:eastAsia="方正仿宋_GBK"/>
          <w:color w:val="auto"/>
          <w:sz w:val="32"/>
          <w:szCs w:val="32"/>
          <w:lang w:val="en-US" w:eastAsia="zh-CN"/>
        </w:rPr>
        <w:t>并完成整改</w:t>
      </w:r>
      <w:r>
        <w:rPr>
          <w:rFonts w:hint="eastAsia" w:eastAsia="方正仿宋_GBK"/>
          <w:color w:val="auto"/>
          <w:sz w:val="32"/>
          <w:szCs w:val="32"/>
        </w:rPr>
        <w:t>。</w:t>
      </w:r>
    </w:p>
    <w:p w14:paraId="672FA51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rPr>
      </w:pPr>
      <w:r>
        <w:rPr>
          <w:rFonts w:hint="eastAsia" w:eastAsia="方正仿宋_GBK"/>
          <w:b/>
          <w:bCs/>
          <w:color w:val="auto"/>
          <w:sz w:val="32"/>
          <w:szCs w:val="32"/>
          <w:lang w:val="en-US" w:eastAsia="zh-CN"/>
        </w:rPr>
        <w:t>完善社会治理体系。</w:t>
      </w:r>
      <w:r>
        <w:rPr>
          <w:rFonts w:hint="eastAsia" w:eastAsia="方正仿宋_GBK"/>
          <w:color w:val="auto"/>
          <w:sz w:val="32"/>
          <w:szCs w:val="32"/>
          <w:lang w:val="en-US" w:eastAsia="zh-CN"/>
        </w:rPr>
        <w:t>在全国率先探索实施AI社工项目，推动大语言模型在社区治理和居民区工作场景中的转化应用。加强信访法治化建设，深入开展“化解矛盾风险维护社会稳定”专项治理，越级进京访呈逐年下降态势，治理欠薪工作两项主要指标均居主城第一。全</w:t>
      </w:r>
      <w:r>
        <w:rPr>
          <w:rFonts w:hint="eastAsia" w:eastAsia="方正仿宋_GBK"/>
          <w:color w:val="auto"/>
          <w:sz w:val="32"/>
          <w:szCs w:val="32"/>
        </w:rPr>
        <w:t>区群众安全感达99.62%，</w:t>
      </w:r>
      <w:r>
        <w:rPr>
          <w:rFonts w:hint="eastAsia" w:eastAsia="方正仿宋_GBK"/>
          <w:color w:val="auto"/>
          <w:sz w:val="32"/>
          <w:szCs w:val="32"/>
          <w:lang w:val="en-US" w:eastAsia="zh-CN"/>
        </w:rPr>
        <w:t>位列</w:t>
      </w:r>
      <w:r>
        <w:rPr>
          <w:rFonts w:hint="eastAsia" w:eastAsia="方正仿宋_GBK"/>
          <w:color w:val="auto"/>
          <w:sz w:val="32"/>
          <w:szCs w:val="32"/>
        </w:rPr>
        <w:t>全省第一，取得历史最好成绩。</w:t>
      </w:r>
    </w:p>
    <w:p w14:paraId="4F47251F">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hint="eastAsia" w:eastAsia="方正仿宋_GBK"/>
          <w:color w:val="auto"/>
          <w:sz w:val="32"/>
          <w:szCs w:val="32"/>
        </w:rPr>
        <w:t>2025年，</w:t>
      </w:r>
      <w:r>
        <w:rPr>
          <w:rFonts w:hint="eastAsia" w:eastAsia="方正仿宋_GBK"/>
          <w:color w:val="auto"/>
          <w:sz w:val="32"/>
          <w:szCs w:val="32"/>
          <w:lang w:val="en-US" w:eastAsia="zh-CN"/>
        </w:rPr>
        <w:t>全区</w:t>
      </w:r>
      <w:r>
        <w:rPr>
          <w:rFonts w:hint="eastAsia" w:eastAsia="方正仿宋_GBK"/>
          <w:color w:val="auto"/>
          <w:sz w:val="32"/>
          <w:szCs w:val="32"/>
        </w:rPr>
        <w:t>经济社会发展</w:t>
      </w:r>
      <w:r>
        <w:rPr>
          <w:rFonts w:hint="eastAsia" w:eastAsia="方正仿宋_GBK"/>
          <w:color w:val="auto"/>
          <w:sz w:val="32"/>
          <w:szCs w:val="32"/>
          <w:lang w:val="en-US" w:eastAsia="zh-CN"/>
        </w:rPr>
        <w:t>整体态势向好，成效显著</w:t>
      </w:r>
      <w:r>
        <w:rPr>
          <w:rFonts w:hint="eastAsia" w:eastAsia="方正仿宋_GBK"/>
          <w:color w:val="auto"/>
          <w:sz w:val="32"/>
          <w:szCs w:val="32"/>
        </w:rPr>
        <w:t>，但我们也清醒地认识到，当前外部环境的复杂性、严峻性、不确定性上升，区内周期性矛盾与结构性压力交织叠加，推</w:t>
      </w:r>
      <w:r>
        <w:rPr>
          <w:rFonts w:hint="eastAsia" w:eastAsia="方正仿宋_GBK"/>
          <w:color w:val="auto"/>
          <w:sz w:val="32"/>
          <w:szCs w:val="32"/>
          <w:lang w:val="en-US" w:eastAsia="zh-CN"/>
        </w:rPr>
        <w:t>进</w:t>
      </w:r>
      <w:r>
        <w:rPr>
          <w:rFonts w:hint="eastAsia" w:eastAsia="方正仿宋_GBK"/>
          <w:color w:val="auto"/>
          <w:sz w:val="32"/>
          <w:szCs w:val="32"/>
        </w:rPr>
        <w:t>高质量发展仍面临不少困难和挑战。</w:t>
      </w:r>
      <w:r>
        <w:rPr>
          <w:rFonts w:hint="eastAsia" w:eastAsia="方正仿宋_GBK"/>
          <w:b/>
          <w:bCs/>
          <w:color w:val="auto"/>
          <w:sz w:val="32"/>
          <w:szCs w:val="32"/>
        </w:rPr>
        <w:t>一是高质量发展基础尚不稳固，</w:t>
      </w:r>
      <w:r>
        <w:rPr>
          <w:rFonts w:hint="eastAsia" w:eastAsia="方正仿宋_GBK"/>
          <w:color w:val="auto"/>
          <w:sz w:val="32"/>
          <w:szCs w:val="32"/>
        </w:rPr>
        <w:t>经济增长内生动力有待</w:t>
      </w:r>
      <w:r>
        <w:rPr>
          <w:rFonts w:hint="eastAsia" w:eastAsia="方正仿宋_GBK"/>
          <w:color w:val="auto"/>
          <w:sz w:val="32"/>
          <w:szCs w:val="32"/>
          <w:highlight w:val="none"/>
        </w:rPr>
        <w:t>增强，新兴产业支撑力偏弱、整体竞争力有待</w:t>
      </w:r>
      <w:r>
        <w:rPr>
          <w:rFonts w:hint="eastAsia" w:eastAsia="方正仿宋_GBK"/>
          <w:color w:val="auto"/>
          <w:sz w:val="32"/>
          <w:szCs w:val="32"/>
          <w:highlight w:val="none"/>
          <w:lang w:val="en-US" w:eastAsia="zh-CN"/>
        </w:rPr>
        <w:t>提升</w:t>
      </w:r>
      <w:r>
        <w:rPr>
          <w:rFonts w:hint="eastAsia" w:eastAsia="方正仿宋_GBK"/>
          <w:color w:val="auto"/>
          <w:sz w:val="32"/>
          <w:szCs w:val="32"/>
          <w:highlight w:val="none"/>
        </w:rPr>
        <w:t>，</w:t>
      </w:r>
      <w:r>
        <w:rPr>
          <w:rFonts w:hint="eastAsia" w:eastAsia="方正仿宋_GBK"/>
          <w:color w:val="auto"/>
          <w:sz w:val="32"/>
          <w:szCs w:val="32"/>
          <w:highlight w:val="none"/>
          <w:lang w:val="en-US" w:eastAsia="zh-CN"/>
        </w:rPr>
        <w:t>在</w:t>
      </w:r>
      <w:r>
        <w:rPr>
          <w:rFonts w:hint="eastAsia" w:eastAsia="方正仿宋_GBK"/>
          <w:color w:val="auto"/>
          <w:sz w:val="32"/>
          <w:szCs w:val="32"/>
          <w:highlight w:val="none"/>
        </w:rPr>
        <w:t>科教资源转化</w:t>
      </w:r>
      <w:r>
        <w:rPr>
          <w:rFonts w:hint="eastAsia" w:eastAsia="方正仿宋_GBK"/>
          <w:color w:val="auto"/>
          <w:sz w:val="32"/>
          <w:szCs w:val="32"/>
          <w:highlight w:val="none"/>
          <w:lang w:eastAsia="zh-CN"/>
        </w:rPr>
        <w:t>、</w:t>
      </w:r>
      <w:r>
        <w:rPr>
          <w:rFonts w:hint="eastAsia" w:eastAsia="方正仿宋_GBK"/>
          <w:color w:val="auto"/>
          <w:sz w:val="32"/>
          <w:szCs w:val="32"/>
          <w:highlight w:val="none"/>
        </w:rPr>
        <w:t>新旧动能转换</w:t>
      </w:r>
      <w:r>
        <w:rPr>
          <w:rFonts w:hint="eastAsia" w:eastAsia="方正仿宋_GBK"/>
          <w:color w:val="auto"/>
          <w:sz w:val="32"/>
          <w:szCs w:val="32"/>
          <w:highlight w:val="none"/>
          <w:lang w:val="en-US" w:eastAsia="zh-CN"/>
        </w:rPr>
        <w:t>等</w:t>
      </w:r>
      <w:r>
        <w:rPr>
          <w:rFonts w:hint="eastAsia" w:eastAsia="方正仿宋_GBK"/>
          <w:color w:val="auto"/>
          <w:sz w:val="32"/>
          <w:szCs w:val="32"/>
          <w:highlight w:val="none"/>
        </w:rPr>
        <w:t>方面还</w:t>
      </w:r>
      <w:r>
        <w:rPr>
          <w:rFonts w:hint="eastAsia" w:eastAsia="方正仿宋_GBK"/>
          <w:color w:val="auto"/>
          <w:sz w:val="32"/>
          <w:szCs w:val="32"/>
          <w:highlight w:val="none"/>
          <w:lang w:val="en-US" w:eastAsia="zh-CN"/>
        </w:rPr>
        <w:t>需持续发力</w:t>
      </w:r>
      <w:r>
        <w:rPr>
          <w:rFonts w:hint="eastAsia" w:eastAsia="方正仿宋_GBK"/>
          <w:color w:val="auto"/>
          <w:sz w:val="32"/>
          <w:szCs w:val="32"/>
          <w:highlight w:val="none"/>
        </w:rPr>
        <w:t>。</w:t>
      </w:r>
      <w:r>
        <w:rPr>
          <w:rFonts w:hint="eastAsia" w:eastAsia="方正仿宋_GBK"/>
          <w:b/>
          <w:bCs/>
          <w:color w:val="auto"/>
          <w:sz w:val="32"/>
          <w:szCs w:val="32"/>
          <w:highlight w:val="none"/>
        </w:rPr>
        <w:t>二是高品质生活供给仍有短板，</w:t>
      </w:r>
      <w:r>
        <w:rPr>
          <w:rFonts w:hint="eastAsia" w:eastAsia="方正仿宋_GBK"/>
          <w:color w:val="auto"/>
          <w:sz w:val="32"/>
          <w:szCs w:val="32"/>
          <w:highlight w:val="none"/>
          <w:lang w:val="en-US" w:eastAsia="zh-CN"/>
        </w:rPr>
        <w:t>空气质量优良天数比例</w:t>
      </w:r>
      <w:r>
        <w:rPr>
          <w:rFonts w:hint="eastAsia" w:eastAsia="方正仿宋_GBK"/>
          <w:color w:val="auto"/>
          <w:sz w:val="32"/>
          <w:szCs w:val="32"/>
          <w:highlight w:val="none"/>
        </w:rPr>
        <w:t>仍有提升空间，垃圾异味、噪音扰民、停车管理等问题反映较为集中</w:t>
      </w:r>
      <w:r>
        <w:rPr>
          <w:rFonts w:hint="eastAsia" w:eastAsia="方正仿宋_GBK"/>
          <w:color w:val="auto"/>
          <w:sz w:val="32"/>
          <w:szCs w:val="32"/>
          <w:highlight w:val="none"/>
          <w:lang w:eastAsia="zh-CN"/>
        </w:rPr>
        <w:t>，</w:t>
      </w:r>
      <w:r>
        <w:rPr>
          <w:rFonts w:hint="eastAsia" w:eastAsia="方正仿宋_GBK"/>
          <w:color w:val="auto"/>
          <w:sz w:val="32"/>
          <w:szCs w:val="32"/>
          <w:highlight w:val="none"/>
        </w:rPr>
        <w:t>在精致精细管理、宜居环境打造等方面还要下更大功夫。</w:t>
      </w:r>
      <w:r>
        <w:rPr>
          <w:rFonts w:hint="eastAsia" w:eastAsia="方正仿宋_GBK"/>
          <w:b/>
          <w:bCs/>
          <w:color w:val="auto"/>
          <w:sz w:val="32"/>
          <w:szCs w:val="32"/>
          <w:highlight w:val="none"/>
        </w:rPr>
        <w:t>三是高效能治理体系</w:t>
      </w:r>
      <w:r>
        <w:rPr>
          <w:rFonts w:hint="eastAsia" w:eastAsia="方正仿宋_GBK"/>
          <w:b/>
          <w:bCs/>
          <w:color w:val="auto"/>
          <w:sz w:val="32"/>
          <w:szCs w:val="32"/>
          <w:highlight w:val="none"/>
          <w:lang w:val="en-US" w:eastAsia="zh-CN"/>
        </w:rPr>
        <w:t>建设</w:t>
      </w:r>
      <w:r>
        <w:rPr>
          <w:rFonts w:hint="eastAsia" w:eastAsia="方正仿宋_GBK"/>
          <w:b/>
          <w:bCs/>
          <w:color w:val="auto"/>
          <w:sz w:val="32"/>
          <w:szCs w:val="32"/>
          <w:highlight w:val="none"/>
        </w:rPr>
        <w:t>有待提升，</w:t>
      </w:r>
      <w:r>
        <w:rPr>
          <w:rFonts w:hint="eastAsia" w:eastAsia="方正仿宋_GBK"/>
          <w:color w:val="auto"/>
          <w:sz w:val="32"/>
          <w:szCs w:val="32"/>
          <w:highlight w:val="none"/>
        </w:rPr>
        <w:t>安全生产基础仍需夯实，基层执法与网格管理力量</w:t>
      </w:r>
      <w:r>
        <w:rPr>
          <w:rFonts w:hint="eastAsia" w:eastAsia="方正仿宋_GBK"/>
          <w:color w:val="auto"/>
          <w:sz w:val="32"/>
          <w:szCs w:val="32"/>
          <w:highlight w:val="none"/>
          <w:lang w:val="en-US" w:eastAsia="zh-CN"/>
        </w:rPr>
        <w:t>需进一步</w:t>
      </w:r>
      <w:r>
        <w:rPr>
          <w:rFonts w:hint="eastAsia" w:eastAsia="方正仿宋_GBK"/>
          <w:color w:val="auto"/>
          <w:sz w:val="32"/>
          <w:szCs w:val="32"/>
          <w:highlight w:val="none"/>
        </w:rPr>
        <w:t>强化，</w:t>
      </w:r>
      <w:r>
        <w:rPr>
          <w:rFonts w:hint="eastAsia" w:eastAsia="方正仿宋_GBK"/>
          <w:color w:val="auto"/>
          <w:sz w:val="32"/>
          <w:szCs w:val="32"/>
          <w:highlight w:val="none"/>
          <w:lang w:val="en-US" w:eastAsia="zh-CN"/>
        </w:rPr>
        <w:t>在</w:t>
      </w:r>
      <w:r>
        <w:rPr>
          <w:rFonts w:hint="eastAsia" w:eastAsia="方正仿宋_GBK"/>
          <w:color w:val="auto"/>
          <w:sz w:val="32"/>
          <w:szCs w:val="32"/>
          <w:highlight w:val="none"/>
        </w:rPr>
        <w:t>风险隐患</w:t>
      </w:r>
      <w:r>
        <w:rPr>
          <w:rFonts w:hint="eastAsia" w:eastAsia="方正仿宋_GBK"/>
          <w:color w:val="auto"/>
          <w:sz w:val="32"/>
          <w:szCs w:val="32"/>
          <w:highlight w:val="none"/>
          <w:lang w:val="en-US" w:eastAsia="zh-CN"/>
        </w:rPr>
        <w:t>排查</w:t>
      </w:r>
      <w:r>
        <w:rPr>
          <w:rFonts w:hint="eastAsia" w:eastAsia="方正仿宋_GBK"/>
          <w:color w:val="auto"/>
          <w:sz w:val="32"/>
          <w:szCs w:val="32"/>
          <w:highlight w:val="none"/>
        </w:rPr>
        <w:t>和</w:t>
      </w:r>
      <w:r>
        <w:rPr>
          <w:rFonts w:hint="eastAsia" w:eastAsia="方正仿宋_GBK"/>
          <w:color w:val="auto"/>
          <w:sz w:val="32"/>
          <w:szCs w:val="32"/>
          <w:highlight w:val="none"/>
          <w:lang w:val="en-US" w:eastAsia="zh-CN"/>
        </w:rPr>
        <w:t>处置</w:t>
      </w:r>
      <w:r>
        <w:rPr>
          <w:rFonts w:hint="eastAsia" w:eastAsia="方正仿宋_GBK"/>
          <w:color w:val="auto"/>
          <w:sz w:val="32"/>
          <w:szCs w:val="32"/>
          <w:highlight w:val="none"/>
        </w:rPr>
        <w:t>等方面还要下更大功夫。</w:t>
      </w:r>
    </w:p>
    <w:p w14:paraId="7767F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szCs w:val="32"/>
        </w:rPr>
      </w:pPr>
      <w:r>
        <w:rPr>
          <w:rFonts w:eastAsia="方正黑体_GBK"/>
          <w:color w:val="auto"/>
          <w:sz w:val="32"/>
          <w:szCs w:val="32"/>
        </w:rPr>
        <w:t>二、202</w:t>
      </w:r>
      <w:r>
        <w:rPr>
          <w:rFonts w:hint="eastAsia" w:eastAsia="方正黑体_GBK"/>
          <w:color w:val="auto"/>
          <w:sz w:val="32"/>
          <w:szCs w:val="32"/>
        </w:rPr>
        <w:t>6</w:t>
      </w:r>
      <w:r>
        <w:rPr>
          <w:rFonts w:eastAsia="方正黑体_GBK"/>
          <w:color w:val="auto"/>
          <w:sz w:val="32"/>
          <w:szCs w:val="32"/>
        </w:rPr>
        <w:t>年国民经济和社会发展计划安排</w:t>
      </w:r>
    </w:p>
    <w:p w14:paraId="699B254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rPr>
      </w:pPr>
      <w:r>
        <w:rPr>
          <w:rFonts w:eastAsia="方正楷体_GBK"/>
          <w:color w:val="auto"/>
          <w:sz w:val="32"/>
          <w:szCs w:val="32"/>
        </w:rPr>
        <w:t>（一）总体思路</w:t>
      </w:r>
    </w:p>
    <w:p w14:paraId="7FF30DC1">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hint="eastAsia" w:eastAsia="方正仿宋_GBK"/>
          <w:color w:val="auto"/>
          <w:sz w:val="32"/>
          <w:szCs w:val="32"/>
        </w:rPr>
        <w:t>2026年是“十五五”规划的开局之年，做好全年经济社会发展工作，要坚持以习近平新时代中国特色社会主义思想为指导，全面学习贯彻党的二十大和二十届历次全会精神，深入学习贯彻习近平总书记对江苏工作重要讲话重要指示精神及中央经济工作会议部署要求，立足“十五五”发展新起点，</w:t>
      </w:r>
      <w:r>
        <w:rPr>
          <w:rFonts w:hint="eastAsia" w:eastAsia="方正仿宋_GBK"/>
          <w:color w:val="auto"/>
          <w:sz w:val="32"/>
          <w:szCs w:val="32"/>
          <w:lang w:eastAsia="zh-CN"/>
        </w:rPr>
        <w:t>完</w:t>
      </w:r>
      <w:r>
        <w:rPr>
          <w:rFonts w:hint="eastAsia" w:eastAsia="方正仿宋_GBK"/>
          <w:color w:val="auto"/>
          <w:sz w:val="32"/>
          <w:szCs w:val="32"/>
        </w:rPr>
        <w:t>整准确全面贯彻新发展理念，加快构建新发展格局，着力推动高质量发展，坚持稳中求进工作总基调</w:t>
      </w:r>
      <w:r>
        <w:rPr>
          <w:rFonts w:hint="eastAsia" w:eastAsia="方正仿宋_GBK"/>
          <w:color w:val="auto"/>
          <w:sz w:val="32"/>
          <w:szCs w:val="32"/>
          <w:lang w:eastAsia="zh-CN"/>
        </w:rPr>
        <w:t>，</w:t>
      </w:r>
      <w:r>
        <w:rPr>
          <w:rFonts w:hint="eastAsia" w:eastAsia="方正仿宋_GBK"/>
          <w:color w:val="auto"/>
          <w:sz w:val="32"/>
          <w:szCs w:val="32"/>
        </w:rPr>
        <w:t>锚定新征程开局新目标，在中心城区现代化建设中走在前、做示范，奋力</w:t>
      </w:r>
      <w:r>
        <w:rPr>
          <w:rFonts w:hint="eastAsia" w:eastAsia="方正仿宋_GBK"/>
          <w:color w:val="auto"/>
          <w:sz w:val="32"/>
          <w:szCs w:val="32"/>
          <w:lang w:val="en-US" w:eastAsia="zh-CN"/>
        </w:rPr>
        <w:t>推进</w:t>
      </w:r>
      <w:r>
        <w:rPr>
          <w:rFonts w:hint="eastAsia" w:eastAsia="方正仿宋_GBK"/>
          <w:color w:val="auto"/>
          <w:sz w:val="32"/>
          <w:szCs w:val="32"/>
        </w:rPr>
        <w:t>中国式现代化鼓楼新实践。</w:t>
      </w:r>
    </w:p>
    <w:p w14:paraId="2A639EF3">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shd w:val="clear" w:color="auto" w:fill="FFFFFF"/>
        </w:rPr>
      </w:pPr>
      <w:r>
        <w:rPr>
          <w:rFonts w:eastAsia="方正楷体_GBK"/>
          <w:color w:val="auto"/>
          <w:sz w:val="32"/>
          <w:szCs w:val="32"/>
          <w:shd w:val="clear" w:color="auto" w:fill="FFFFFF"/>
        </w:rPr>
        <w:t>（二）基本原则</w:t>
      </w:r>
    </w:p>
    <w:p w14:paraId="4AD5913D">
      <w:pPr>
        <w:pStyle w:val="10"/>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eastAsia="方正仿宋_GBK"/>
          <w:color w:val="auto"/>
          <w:spacing w:val="-4"/>
          <w:sz w:val="32"/>
          <w:szCs w:val="32"/>
        </w:rPr>
      </w:pPr>
      <w:r>
        <w:rPr>
          <w:rFonts w:hint="eastAsia" w:eastAsia="方正仿宋_GBK"/>
          <w:b/>
          <w:bCs/>
          <w:color w:val="auto"/>
          <w:spacing w:val="-4"/>
          <w:sz w:val="32"/>
          <w:szCs w:val="32"/>
        </w:rPr>
        <w:t>一是夯实“十四五”发展根基，高起点谋篇“十五五”开局起步</w:t>
      </w:r>
      <w:r>
        <w:rPr>
          <w:rFonts w:hint="eastAsia" w:eastAsia="方正仿宋_GBK"/>
          <w:b/>
          <w:bCs/>
          <w:color w:val="auto"/>
          <w:spacing w:val="-4"/>
          <w:sz w:val="32"/>
          <w:szCs w:val="32"/>
          <w:lang w:eastAsia="zh-CN"/>
        </w:rPr>
        <w:t>。</w:t>
      </w:r>
      <w:r>
        <w:rPr>
          <w:rFonts w:hint="eastAsia" w:eastAsia="方正仿宋_GBK"/>
          <w:color w:val="auto"/>
          <w:spacing w:val="-4"/>
          <w:sz w:val="32"/>
          <w:szCs w:val="32"/>
        </w:rPr>
        <w:t>将2026年各项工作全面纳入“十五五”发展新坐标</w:t>
      </w:r>
      <w:r>
        <w:rPr>
          <w:rFonts w:hint="eastAsia" w:eastAsia="方正仿宋_GBK"/>
          <w:color w:val="auto"/>
          <w:spacing w:val="-4"/>
          <w:sz w:val="32"/>
          <w:szCs w:val="32"/>
          <w:lang w:val="en-US" w:eastAsia="zh-CN"/>
        </w:rPr>
        <w:t>体系</w:t>
      </w:r>
      <w:r>
        <w:rPr>
          <w:rFonts w:hint="eastAsia" w:eastAsia="方正仿宋_GBK"/>
          <w:color w:val="auto"/>
          <w:spacing w:val="-4"/>
          <w:sz w:val="32"/>
          <w:szCs w:val="32"/>
          <w:lang w:eastAsia="zh-CN"/>
        </w:rPr>
        <w:t>，</w:t>
      </w:r>
      <w:r>
        <w:rPr>
          <w:rFonts w:hint="eastAsia" w:eastAsia="方正仿宋_GBK"/>
          <w:color w:val="auto"/>
          <w:spacing w:val="-4"/>
          <w:sz w:val="32"/>
          <w:szCs w:val="32"/>
        </w:rPr>
        <w:t>既全面承接“十四五”形成的良好基础与发展势能，更聚焦“十五五”时期的战略方向与核心任务，在目标设定上提标提质、任务部署上谋深谋实、项目安排上抢先</w:t>
      </w:r>
      <w:r>
        <w:rPr>
          <w:rFonts w:hint="eastAsia" w:eastAsia="方正仿宋_GBK"/>
          <w:color w:val="auto"/>
          <w:spacing w:val="-4"/>
          <w:sz w:val="32"/>
          <w:szCs w:val="32"/>
          <w:lang w:val="en-US" w:eastAsia="zh-CN"/>
        </w:rPr>
        <w:t>抢</w:t>
      </w:r>
      <w:r>
        <w:rPr>
          <w:rFonts w:hint="eastAsia" w:eastAsia="方正仿宋_GBK"/>
          <w:color w:val="auto"/>
          <w:spacing w:val="-4"/>
          <w:sz w:val="32"/>
          <w:szCs w:val="32"/>
        </w:rPr>
        <w:t>早，牢牢把握发展主动权。</w:t>
      </w:r>
    </w:p>
    <w:p w14:paraId="7E31BD81">
      <w:pPr>
        <w:pStyle w:val="10"/>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eastAsia="方正仿宋_GBK"/>
          <w:color w:val="auto"/>
          <w:spacing w:val="-4"/>
          <w:sz w:val="32"/>
          <w:szCs w:val="32"/>
          <w:lang w:eastAsia="zh-CN"/>
        </w:rPr>
      </w:pPr>
      <w:r>
        <w:rPr>
          <w:rFonts w:hint="eastAsia" w:eastAsia="方正仿宋_GBK"/>
          <w:b/>
          <w:bCs/>
          <w:color w:val="auto"/>
          <w:spacing w:val="-4"/>
          <w:sz w:val="32"/>
          <w:szCs w:val="32"/>
        </w:rPr>
        <w:t>二是立足2025年发展实际，科学务实设定年度目标</w:t>
      </w:r>
      <w:r>
        <w:rPr>
          <w:rFonts w:hint="eastAsia" w:eastAsia="方正仿宋_GBK"/>
          <w:b/>
          <w:bCs/>
          <w:color w:val="auto"/>
          <w:spacing w:val="-4"/>
          <w:sz w:val="32"/>
          <w:szCs w:val="32"/>
          <w:lang w:val="en-US" w:eastAsia="zh-CN"/>
        </w:rPr>
        <w:t>任务</w:t>
      </w:r>
      <w:r>
        <w:rPr>
          <w:rFonts w:hint="eastAsia" w:eastAsia="方正仿宋_GBK"/>
          <w:b/>
          <w:bCs/>
          <w:color w:val="auto"/>
          <w:spacing w:val="-4"/>
          <w:sz w:val="32"/>
          <w:szCs w:val="32"/>
        </w:rPr>
        <w:t>。</w:t>
      </w:r>
      <w:r>
        <w:rPr>
          <w:rFonts w:hint="eastAsia" w:eastAsia="方正仿宋_GBK"/>
          <w:color w:val="auto"/>
          <w:spacing w:val="-4"/>
          <w:sz w:val="32"/>
          <w:szCs w:val="32"/>
        </w:rPr>
        <w:t>深入</w:t>
      </w:r>
      <w:r>
        <w:rPr>
          <w:rFonts w:hint="eastAsia" w:eastAsia="方正仿宋_GBK"/>
          <w:color w:val="auto"/>
          <w:spacing w:val="-4"/>
          <w:sz w:val="32"/>
          <w:szCs w:val="32"/>
          <w:lang w:val="en-US" w:eastAsia="zh-CN"/>
        </w:rPr>
        <w:t>研判</w:t>
      </w:r>
      <w:r>
        <w:rPr>
          <w:rFonts w:hint="eastAsia" w:eastAsia="方正仿宋_GBK"/>
          <w:color w:val="auto"/>
          <w:spacing w:val="-4"/>
          <w:sz w:val="32"/>
          <w:szCs w:val="32"/>
        </w:rPr>
        <w:t>2025年全区经济社会发展成效，准确把握发展的阶段性特征和内外部环境变化</w:t>
      </w:r>
      <w:r>
        <w:rPr>
          <w:rFonts w:hint="eastAsia" w:eastAsia="方正仿宋_GBK"/>
          <w:color w:val="auto"/>
          <w:spacing w:val="-4"/>
          <w:sz w:val="32"/>
          <w:szCs w:val="32"/>
          <w:lang w:eastAsia="zh-CN"/>
        </w:rPr>
        <w:t>，</w:t>
      </w:r>
      <w:r>
        <w:rPr>
          <w:rFonts w:hint="eastAsia" w:eastAsia="方正仿宋_GBK"/>
          <w:color w:val="auto"/>
          <w:spacing w:val="-4"/>
          <w:sz w:val="32"/>
          <w:szCs w:val="32"/>
        </w:rPr>
        <w:t>坚持稳中求进、以进促稳，科学设定2026年经济社会发展各项预期目</w:t>
      </w:r>
      <w:r>
        <w:rPr>
          <w:rFonts w:hint="eastAsia" w:eastAsia="方正仿宋_GBK"/>
          <w:color w:val="auto"/>
          <w:spacing w:val="-4"/>
          <w:sz w:val="32"/>
          <w:szCs w:val="32"/>
          <w:u w:val="none"/>
        </w:rPr>
        <w:t>标，有利于稳定社会预期、提振市场信心，增强投资、生产、消费的意愿</w:t>
      </w:r>
      <w:r>
        <w:rPr>
          <w:rFonts w:hint="eastAsia" w:eastAsia="方正仿宋_GBK"/>
          <w:color w:val="auto"/>
          <w:spacing w:val="-4"/>
          <w:sz w:val="32"/>
          <w:szCs w:val="32"/>
          <w:u w:val="none"/>
          <w:lang w:eastAsia="zh-CN"/>
        </w:rPr>
        <w:t>。</w:t>
      </w:r>
    </w:p>
    <w:p w14:paraId="3DA1C522">
      <w:pPr>
        <w:pStyle w:val="10"/>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eastAsia" w:eastAsia="方正仿宋_GBK"/>
          <w:color w:val="auto"/>
          <w:spacing w:val="-4"/>
          <w:sz w:val="32"/>
          <w:szCs w:val="32"/>
        </w:rPr>
      </w:pPr>
      <w:r>
        <w:rPr>
          <w:rFonts w:eastAsia="方正仿宋_GBK"/>
          <w:b/>
          <w:bCs/>
          <w:color w:val="auto"/>
          <w:spacing w:val="-4"/>
          <w:sz w:val="32"/>
          <w:szCs w:val="32"/>
        </w:rPr>
        <w:t>三是</w:t>
      </w:r>
      <w:r>
        <w:rPr>
          <w:rFonts w:hint="eastAsia" w:eastAsia="方正仿宋_GBK"/>
          <w:b/>
          <w:bCs/>
          <w:color w:val="auto"/>
          <w:spacing w:val="-4"/>
          <w:sz w:val="32"/>
          <w:szCs w:val="32"/>
        </w:rPr>
        <w:t>对标全市发展导向，锚定争先目标强化协同发力。</w:t>
      </w:r>
      <w:r>
        <w:rPr>
          <w:rFonts w:hint="eastAsia" w:eastAsia="方正仿宋_GBK"/>
          <w:color w:val="auto"/>
          <w:spacing w:val="-4"/>
          <w:sz w:val="32"/>
          <w:szCs w:val="32"/>
        </w:rPr>
        <w:t>深刻把握全市“十五五”开局之年的发展导向和部署安排，主动将鼓楼发展融入更高层次区域合作大局谋划推进，在主要经济社会发展指标设定上敢为人先、争先进位，力争增速与贡献度稳居全市第一方阵。</w:t>
      </w:r>
    </w:p>
    <w:p w14:paraId="1102FAF2">
      <w:pPr>
        <w:pStyle w:val="10"/>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eastAsia="方正楷体_GBK"/>
          <w:color w:val="auto"/>
          <w:spacing w:val="-4"/>
          <w:sz w:val="32"/>
          <w:szCs w:val="32"/>
        </w:rPr>
      </w:pPr>
      <w:r>
        <w:rPr>
          <w:rFonts w:eastAsia="方正楷体_GBK"/>
          <w:color w:val="auto"/>
          <w:spacing w:val="-4"/>
          <w:sz w:val="32"/>
          <w:szCs w:val="32"/>
        </w:rPr>
        <w:t>（三）目标任务</w:t>
      </w:r>
    </w:p>
    <w:p w14:paraId="3A61D48E">
      <w:pPr>
        <w:pStyle w:val="10"/>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eastAsia="方正仿宋_GBK"/>
          <w:color w:val="auto"/>
          <w:sz w:val="32"/>
          <w:szCs w:val="32"/>
        </w:rPr>
      </w:pPr>
      <w:r>
        <w:rPr>
          <w:rFonts w:hint="eastAsia" w:eastAsia="方正仿宋_GBK"/>
          <w:color w:val="auto"/>
          <w:spacing w:val="-4"/>
          <w:sz w:val="32"/>
          <w:szCs w:val="32"/>
        </w:rPr>
        <w:t>基于上述原则</w:t>
      </w:r>
      <w:r>
        <w:rPr>
          <w:rFonts w:eastAsia="方正仿宋_GBK"/>
          <w:color w:val="auto"/>
          <w:spacing w:val="-4"/>
          <w:sz w:val="32"/>
          <w:szCs w:val="32"/>
        </w:rPr>
        <w:t>，202</w:t>
      </w:r>
      <w:r>
        <w:rPr>
          <w:rFonts w:hint="eastAsia" w:eastAsia="方正仿宋_GBK"/>
          <w:color w:val="auto"/>
          <w:spacing w:val="-4"/>
          <w:sz w:val="32"/>
          <w:szCs w:val="32"/>
        </w:rPr>
        <w:t>6</w:t>
      </w:r>
      <w:r>
        <w:rPr>
          <w:rFonts w:eastAsia="方正仿宋_GBK"/>
          <w:color w:val="auto"/>
          <w:spacing w:val="-4"/>
          <w:sz w:val="32"/>
          <w:szCs w:val="32"/>
        </w:rPr>
        <w:t>年全区国民经济和社会发展计划拟安排主要指标、重点目标任务以及重点建设</w:t>
      </w:r>
      <w:r>
        <w:rPr>
          <w:rFonts w:eastAsia="方正仿宋_GBK"/>
          <w:color w:val="auto"/>
          <w:spacing w:val="-4"/>
          <w:sz w:val="32"/>
          <w:szCs w:val="32"/>
          <w:highlight w:val="none"/>
        </w:rPr>
        <w:t>项目三大类</w:t>
      </w:r>
      <w:r>
        <w:rPr>
          <w:rFonts w:hint="eastAsia" w:eastAsia="方正仿宋_GBK"/>
          <w:color w:val="auto"/>
          <w:spacing w:val="-4"/>
          <w:sz w:val="32"/>
          <w:szCs w:val="32"/>
          <w:highlight w:val="none"/>
          <w:lang w:val="en-US" w:eastAsia="zh-CN"/>
        </w:rPr>
        <w:t>70</w:t>
      </w:r>
      <w:r>
        <w:rPr>
          <w:rFonts w:eastAsia="方正仿宋_GBK"/>
          <w:color w:val="auto"/>
          <w:spacing w:val="-4"/>
          <w:sz w:val="32"/>
          <w:szCs w:val="32"/>
          <w:highlight w:val="none"/>
        </w:rPr>
        <w:t>个</w:t>
      </w:r>
      <w:r>
        <w:rPr>
          <w:rFonts w:eastAsia="方正仿宋_GBK"/>
          <w:color w:val="auto"/>
          <w:spacing w:val="-4"/>
          <w:sz w:val="32"/>
          <w:szCs w:val="32"/>
        </w:rPr>
        <w:t>指标。</w:t>
      </w:r>
      <w:r>
        <w:rPr>
          <w:rFonts w:eastAsia="方正仿宋_GBK"/>
          <w:color w:val="auto"/>
          <w:sz w:val="32"/>
          <w:szCs w:val="32"/>
        </w:rPr>
        <w:t>其中主要指标：</w:t>
      </w:r>
    </w:p>
    <w:p w14:paraId="56241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——地区生产总值</w:t>
      </w:r>
      <w:r>
        <w:rPr>
          <w:rFonts w:hint="eastAsia" w:eastAsia="方正仿宋_GBK"/>
          <w:color w:val="auto"/>
          <w:sz w:val="32"/>
          <w:szCs w:val="32"/>
        </w:rPr>
        <w:t>增长</w:t>
      </w:r>
      <w:r>
        <w:rPr>
          <w:rFonts w:eastAsia="方正仿宋_GBK"/>
          <w:color w:val="auto"/>
          <w:sz w:val="32"/>
          <w:szCs w:val="32"/>
        </w:rPr>
        <w:t>5%</w:t>
      </w:r>
      <w:r>
        <w:rPr>
          <w:rFonts w:hint="eastAsia" w:eastAsia="方正仿宋_GBK"/>
          <w:color w:val="auto"/>
          <w:sz w:val="32"/>
          <w:szCs w:val="32"/>
        </w:rPr>
        <w:t>以上</w:t>
      </w:r>
      <w:r>
        <w:rPr>
          <w:rFonts w:eastAsia="方正仿宋_GBK"/>
          <w:color w:val="auto"/>
          <w:sz w:val="32"/>
          <w:szCs w:val="32"/>
        </w:rPr>
        <w:t>；</w:t>
      </w:r>
    </w:p>
    <w:p w14:paraId="42E22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——一般公共预算收入</w:t>
      </w:r>
      <w:r>
        <w:rPr>
          <w:rFonts w:hint="eastAsia" w:eastAsia="方正仿宋_GBK"/>
          <w:color w:val="auto"/>
          <w:sz w:val="32"/>
          <w:szCs w:val="32"/>
          <w:lang w:eastAsia="zh-CN"/>
        </w:rPr>
        <w:t>实现</w:t>
      </w:r>
      <w:r>
        <w:rPr>
          <w:rFonts w:eastAsia="方正仿宋_GBK"/>
          <w:color w:val="auto"/>
          <w:sz w:val="32"/>
          <w:szCs w:val="32"/>
        </w:rPr>
        <w:t>正增长；</w:t>
      </w:r>
    </w:p>
    <w:p w14:paraId="7842F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——固定资产投资</w:t>
      </w:r>
      <w:r>
        <w:rPr>
          <w:rFonts w:hint="eastAsia" w:eastAsia="方正仿宋_GBK"/>
          <w:color w:val="auto"/>
          <w:sz w:val="32"/>
          <w:szCs w:val="32"/>
        </w:rPr>
        <w:t>实现</w:t>
      </w:r>
      <w:r>
        <w:rPr>
          <w:rFonts w:eastAsia="方正仿宋_GBK"/>
          <w:color w:val="auto"/>
          <w:sz w:val="32"/>
          <w:szCs w:val="32"/>
        </w:rPr>
        <w:t>正增长；</w:t>
      </w:r>
    </w:p>
    <w:p w14:paraId="3C4E4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w:t>
      </w:r>
      <w:r>
        <w:rPr>
          <w:rFonts w:hint="eastAsia" w:eastAsia="方正仿宋_GBK"/>
          <w:color w:val="auto"/>
          <w:sz w:val="32"/>
          <w:szCs w:val="32"/>
        </w:rPr>
        <w:t>社会消费品零售总额增</w:t>
      </w:r>
      <w:r>
        <w:rPr>
          <w:rFonts w:hint="eastAsia" w:eastAsia="方正仿宋_GBK"/>
          <w:color w:val="auto"/>
          <w:sz w:val="32"/>
          <w:szCs w:val="32"/>
          <w:lang w:eastAsia="zh-CN"/>
        </w:rPr>
        <w:t>长</w:t>
      </w:r>
      <w:r>
        <w:rPr>
          <w:rFonts w:hint="eastAsia" w:eastAsia="方正仿宋_GBK"/>
          <w:color w:val="auto"/>
          <w:sz w:val="32"/>
          <w:szCs w:val="32"/>
          <w:lang w:val="en-US" w:eastAsia="zh-CN"/>
        </w:rPr>
        <w:t>3%</w:t>
      </w:r>
      <w:r>
        <w:rPr>
          <w:rFonts w:eastAsia="方正仿宋_GBK"/>
          <w:color w:val="auto"/>
          <w:sz w:val="32"/>
          <w:szCs w:val="32"/>
          <w:highlight w:val="none"/>
        </w:rPr>
        <w:t>；</w:t>
      </w:r>
    </w:p>
    <w:p w14:paraId="2345C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——外贸进出口总额稳中提质；</w:t>
      </w:r>
    </w:p>
    <w:p w14:paraId="373B3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——居民人均可支配收入增速与经济增长基本同步</w:t>
      </w:r>
      <w:r>
        <w:rPr>
          <w:rFonts w:hint="eastAsia" w:eastAsia="方正仿宋_GBK"/>
          <w:color w:val="auto"/>
          <w:sz w:val="32"/>
          <w:szCs w:val="32"/>
        </w:rPr>
        <w:t>。</w:t>
      </w:r>
    </w:p>
    <w:p w14:paraId="754C8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szCs w:val="32"/>
        </w:rPr>
      </w:pPr>
      <w:r>
        <w:rPr>
          <w:rFonts w:eastAsia="方正黑体_GBK"/>
          <w:color w:val="auto"/>
          <w:sz w:val="32"/>
          <w:szCs w:val="32"/>
        </w:rPr>
        <w:t>三、完成202</w:t>
      </w:r>
      <w:r>
        <w:rPr>
          <w:rFonts w:hint="eastAsia" w:eastAsia="方正黑体_GBK"/>
          <w:color w:val="auto"/>
          <w:sz w:val="32"/>
          <w:szCs w:val="32"/>
        </w:rPr>
        <w:t>6</w:t>
      </w:r>
      <w:r>
        <w:rPr>
          <w:rFonts w:eastAsia="方正黑体_GBK"/>
          <w:color w:val="auto"/>
          <w:sz w:val="32"/>
          <w:szCs w:val="32"/>
        </w:rPr>
        <w:t>年国民经济和社会发展计划的主要措施</w:t>
      </w:r>
    </w:p>
    <w:p w14:paraId="14AB0D5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rPr>
      </w:pPr>
      <w:r>
        <w:rPr>
          <w:rFonts w:eastAsia="方正仿宋_GBK"/>
          <w:color w:val="auto"/>
          <w:sz w:val="32"/>
          <w:szCs w:val="32"/>
        </w:rPr>
        <w:t>围绕202</w:t>
      </w:r>
      <w:r>
        <w:rPr>
          <w:rFonts w:hint="eastAsia" w:eastAsia="方正仿宋_GBK"/>
          <w:color w:val="auto"/>
          <w:sz w:val="32"/>
          <w:szCs w:val="32"/>
        </w:rPr>
        <w:t>6</w:t>
      </w:r>
      <w:r>
        <w:rPr>
          <w:rFonts w:eastAsia="方正仿宋_GBK"/>
          <w:color w:val="auto"/>
          <w:sz w:val="32"/>
          <w:szCs w:val="32"/>
        </w:rPr>
        <w:t>年全区经济社会发展的</w:t>
      </w:r>
      <w:r>
        <w:rPr>
          <w:rFonts w:eastAsia="方正仿宋_GBK"/>
          <w:color w:val="auto"/>
          <w:sz w:val="32"/>
          <w:szCs w:val="32"/>
          <w:highlight w:val="none"/>
        </w:rPr>
        <w:t>三大类</w:t>
      </w:r>
      <w:r>
        <w:rPr>
          <w:rFonts w:hint="eastAsia" w:eastAsia="方正仿宋_GBK"/>
          <w:color w:val="auto"/>
          <w:sz w:val="32"/>
          <w:szCs w:val="32"/>
          <w:highlight w:val="none"/>
          <w:lang w:val="en-US" w:eastAsia="zh-CN"/>
        </w:rPr>
        <w:t>70</w:t>
      </w:r>
      <w:r>
        <w:rPr>
          <w:rFonts w:eastAsia="方正仿宋_GBK"/>
          <w:color w:val="auto"/>
          <w:sz w:val="32"/>
          <w:szCs w:val="32"/>
          <w:highlight w:val="none"/>
        </w:rPr>
        <w:t>项主</w:t>
      </w:r>
      <w:r>
        <w:rPr>
          <w:rFonts w:eastAsia="方正仿宋_GBK"/>
          <w:color w:val="auto"/>
          <w:sz w:val="32"/>
          <w:szCs w:val="32"/>
        </w:rPr>
        <w:t>要预期目标，建议抓好</w:t>
      </w:r>
      <w:r>
        <w:rPr>
          <w:rFonts w:hint="eastAsia" w:eastAsia="方正仿宋_GBK"/>
          <w:color w:val="auto"/>
          <w:sz w:val="32"/>
          <w:szCs w:val="32"/>
        </w:rPr>
        <w:t>六</w:t>
      </w:r>
      <w:r>
        <w:rPr>
          <w:rFonts w:eastAsia="方正仿宋_GBK"/>
          <w:color w:val="auto"/>
          <w:sz w:val="32"/>
          <w:szCs w:val="32"/>
        </w:rPr>
        <w:t>个方面重点任务。</w:t>
      </w:r>
    </w:p>
    <w:p w14:paraId="012B9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方正楷体_GBK"/>
          <w:color w:val="auto"/>
          <w:sz w:val="32"/>
          <w:szCs w:val="32"/>
        </w:rPr>
      </w:pPr>
      <w:r>
        <w:rPr>
          <w:rFonts w:eastAsia="方正楷体_GBK"/>
          <w:color w:val="auto"/>
          <w:sz w:val="32"/>
          <w:szCs w:val="32"/>
        </w:rPr>
        <w:t>（一）</w:t>
      </w:r>
      <w:r>
        <w:rPr>
          <w:rFonts w:hint="eastAsia" w:eastAsia="方正楷体_GBK"/>
          <w:color w:val="auto"/>
          <w:sz w:val="32"/>
          <w:szCs w:val="32"/>
          <w:lang w:eastAsia="zh-CN"/>
        </w:rPr>
        <w:t>提升</w:t>
      </w:r>
      <w:r>
        <w:rPr>
          <w:rFonts w:hint="eastAsia" w:eastAsia="方正楷体_GBK"/>
          <w:color w:val="auto"/>
          <w:sz w:val="32"/>
          <w:szCs w:val="32"/>
        </w:rPr>
        <w:t>经济质效，筑牢</w:t>
      </w:r>
      <w:r>
        <w:rPr>
          <w:rFonts w:hint="eastAsia" w:eastAsia="方正楷体_GBK"/>
          <w:color w:val="auto"/>
          <w:sz w:val="32"/>
          <w:szCs w:val="32"/>
          <w:lang w:val="en-US" w:eastAsia="zh-CN"/>
        </w:rPr>
        <w:t>发展</w:t>
      </w:r>
      <w:r>
        <w:rPr>
          <w:rFonts w:hint="eastAsia" w:eastAsia="方正楷体_GBK"/>
          <w:color w:val="auto"/>
          <w:sz w:val="32"/>
          <w:szCs w:val="32"/>
        </w:rPr>
        <w:t>根基</w:t>
      </w:r>
    </w:p>
    <w:p w14:paraId="01798EF4">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32"/>
          <w:highlight w:val="none"/>
        </w:rPr>
      </w:pPr>
      <w:r>
        <w:rPr>
          <w:rFonts w:hint="eastAsia" w:eastAsia="方正仿宋_GBK"/>
          <w:b/>
          <w:bCs/>
          <w:color w:val="auto"/>
          <w:sz w:val="32"/>
          <w:szCs w:val="32"/>
          <w:lang w:eastAsia="zh-CN"/>
        </w:rPr>
        <w:t>激活内需潜力</w:t>
      </w:r>
      <w:r>
        <w:rPr>
          <w:rFonts w:hint="eastAsia" w:eastAsia="方正仿宋_GBK"/>
          <w:b/>
          <w:bCs/>
          <w:color w:val="auto"/>
          <w:sz w:val="32"/>
          <w:szCs w:val="32"/>
        </w:rPr>
        <w:t>。</w:t>
      </w:r>
      <w:r>
        <w:rPr>
          <w:rFonts w:hint="eastAsia" w:eastAsia="方正仿宋_GBK"/>
          <w:color w:val="auto"/>
          <w:sz w:val="32"/>
          <w:szCs w:val="32"/>
          <w:highlight w:val="none"/>
        </w:rPr>
        <w:t>聚焦潮玩经济、宠物经济等细分赛道，吸引</w:t>
      </w:r>
      <w:r>
        <w:rPr>
          <w:rFonts w:hint="eastAsia" w:eastAsia="方正仿宋_GBK"/>
          <w:color w:val="auto"/>
          <w:sz w:val="32"/>
          <w:szCs w:val="32"/>
          <w:highlight w:val="none"/>
          <w:lang w:val="en-US" w:eastAsia="zh-CN"/>
        </w:rPr>
        <w:t>更多</w:t>
      </w:r>
      <w:r>
        <w:rPr>
          <w:rFonts w:hint="eastAsia" w:eastAsia="方正仿宋_GBK"/>
          <w:color w:val="auto"/>
          <w:sz w:val="32"/>
          <w:szCs w:val="32"/>
          <w:highlight w:val="none"/>
        </w:rPr>
        <w:t>知名品牌区域旗舰店、设计中心</w:t>
      </w:r>
      <w:r>
        <w:rPr>
          <w:rFonts w:hint="eastAsia" w:eastAsia="方正仿宋_GBK"/>
          <w:color w:val="auto"/>
          <w:sz w:val="32"/>
          <w:szCs w:val="32"/>
          <w:highlight w:val="none"/>
          <w:lang w:eastAsia="zh-CN"/>
        </w:rPr>
        <w:t>、</w:t>
      </w:r>
      <w:r>
        <w:rPr>
          <w:rFonts w:hint="eastAsia" w:eastAsia="方正仿宋_GBK"/>
          <w:color w:val="auto"/>
          <w:sz w:val="32"/>
          <w:szCs w:val="32"/>
          <w:highlight w:val="none"/>
        </w:rPr>
        <w:t>总部落地，构建从创意到消费的完整产业闭环。深化“票根经济</w:t>
      </w:r>
      <w:r>
        <w:rPr>
          <w:rStyle w:val="15"/>
          <w:rFonts w:eastAsia="方正仿宋_GBK"/>
          <w:color w:val="auto"/>
          <w:sz w:val="32"/>
          <w:szCs w:val="32"/>
          <w:highlight w:val="none"/>
        </w:rPr>
        <w:footnoteReference w:id="5"/>
      </w:r>
      <w:r>
        <w:rPr>
          <w:rFonts w:hint="eastAsia" w:eastAsia="方正仿宋_GBK"/>
          <w:color w:val="auto"/>
          <w:sz w:val="32"/>
          <w:szCs w:val="32"/>
          <w:highlight w:val="none"/>
        </w:rPr>
        <w:t>”，联动苏超联赛、五台山演艺打造第二现场与应援市集，旅游收入</w:t>
      </w:r>
      <w:r>
        <w:rPr>
          <w:rFonts w:hint="eastAsia" w:eastAsia="方正仿宋_GBK"/>
          <w:color w:val="auto"/>
          <w:sz w:val="32"/>
          <w:szCs w:val="32"/>
          <w:highlight w:val="none"/>
          <w:lang w:eastAsia="zh-CN"/>
        </w:rPr>
        <w:t>、</w:t>
      </w:r>
      <w:r>
        <w:rPr>
          <w:rFonts w:hint="eastAsia" w:eastAsia="方正仿宋_GBK"/>
          <w:color w:val="auto"/>
          <w:sz w:val="32"/>
          <w:szCs w:val="32"/>
          <w:highlight w:val="none"/>
        </w:rPr>
        <w:t>旅游人次力争增长5%。</w:t>
      </w:r>
      <w:r>
        <w:rPr>
          <w:rFonts w:hint="eastAsia" w:eastAsia="方正仿宋_GBK"/>
          <w:b/>
          <w:bCs/>
          <w:color w:val="auto"/>
          <w:sz w:val="32"/>
          <w:szCs w:val="32"/>
          <w:highlight w:val="none"/>
          <w:lang w:val="en-US" w:eastAsia="zh-CN"/>
        </w:rPr>
        <w:t>提振</w:t>
      </w:r>
      <w:r>
        <w:rPr>
          <w:rFonts w:hint="eastAsia" w:eastAsia="方正仿宋_GBK"/>
          <w:b/>
          <w:bCs/>
          <w:color w:val="auto"/>
          <w:sz w:val="32"/>
          <w:szCs w:val="32"/>
          <w:highlight w:val="none"/>
        </w:rPr>
        <w:t>外资外贸。</w:t>
      </w:r>
      <w:r>
        <w:rPr>
          <w:rFonts w:hint="eastAsia" w:eastAsia="方正仿宋_GBK"/>
          <w:color w:val="auto"/>
          <w:sz w:val="32"/>
          <w:szCs w:val="32"/>
          <w:highlight w:val="none"/>
        </w:rPr>
        <w:t>提速鼓楼滨江数字贸易跨境电商示范园建设，推进铁投G18建宁路TOD项目落地，支持企业与中奥、中加创新中心合作，强化南京品牌出海服务中心功能。持续深化服务业扩大开放先行示范区建设，</w:t>
      </w:r>
      <w:r>
        <w:rPr>
          <w:rFonts w:hint="eastAsia" w:ascii="Times New Roman" w:hAnsi="Times New Roman" w:eastAsia="方正仿宋_GBK" w:cs="Times New Roman"/>
          <w:color w:val="auto"/>
          <w:sz w:val="32"/>
          <w:szCs w:val="32"/>
        </w:rPr>
        <w:t>进一步做强江苏</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香港等3个法商融合服务平台</w:t>
      </w:r>
      <w:r>
        <w:rPr>
          <w:rFonts w:hint="eastAsia" w:ascii="Times New Roman" w:hAnsi="Times New Roman" w:eastAsia="方正仿宋_GBK" w:cs="Times New Roman"/>
          <w:color w:val="auto"/>
          <w:sz w:val="32"/>
          <w:szCs w:val="32"/>
          <w:lang w:eastAsia="zh-CN"/>
        </w:rPr>
        <w:t>，</w:t>
      </w:r>
      <w:r>
        <w:rPr>
          <w:rFonts w:hint="eastAsia" w:eastAsia="方正仿宋_GBK"/>
          <w:color w:val="auto"/>
          <w:sz w:val="32"/>
          <w:szCs w:val="32"/>
          <w:highlight w:val="none"/>
        </w:rPr>
        <w:t>全年新增标志性项目6个。</w:t>
      </w:r>
      <w:r>
        <w:rPr>
          <w:rFonts w:hint="eastAsia" w:eastAsia="方正仿宋_GBK"/>
          <w:b/>
          <w:bCs/>
          <w:color w:val="auto"/>
          <w:sz w:val="32"/>
          <w:szCs w:val="32"/>
          <w:highlight w:val="none"/>
          <w:lang w:val="en-US" w:eastAsia="zh-CN"/>
        </w:rPr>
        <w:t>抓实项目</w:t>
      </w:r>
      <w:r>
        <w:rPr>
          <w:rFonts w:hint="eastAsia" w:eastAsia="方正仿宋_GBK"/>
          <w:b/>
          <w:bCs/>
          <w:color w:val="auto"/>
          <w:sz w:val="32"/>
          <w:szCs w:val="32"/>
          <w:highlight w:val="none"/>
        </w:rPr>
        <w:t>招引。</w:t>
      </w:r>
      <w:r>
        <w:rPr>
          <w:rFonts w:hint="eastAsia" w:eastAsia="方正仿宋_GBK"/>
          <w:color w:val="auto"/>
          <w:sz w:val="32"/>
          <w:szCs w:val="32"/>
          <w:highlight w:val="none"/>
        </w:rPr>
        <w:t>聚焦央国企、三类“500”强、行业龙头，加速实现由引资向选资、由扩量向强链转变。创新“活动+场景+楼宇”特色工作</w:t>
      </w:r>
      <w:r>
        <w:rPr>
          <w:rFonts w:hint="eastAsia" w:eastAsia="方正仿宋_GBK"/>
          <w:color w:val="auto"/>
          <w:sz w:val="32"/>
          <w:szCs w:val="32"/>
          <w:highlight w:val="none"/>
          <w:lang w:eastAsia="zh-CN"/>
        </w:rPr>
        <w:t>，打造成立场景创新促进中心。进一步发挥区级基金效能，嫁接“招投联动”机制，撬动引领性强、带动力足、附加值高的项目落地</w:t>
      </w:r>
      <w:r>
        <w:rPr>
          <w:rFonts w:hint="eastAsia" w:eastAsia="方正仿宋_GBK"/>
          <w:color w:val="auto"/>
          <w:sz w:val="32"/>
          <w:szCs w:val="32"/>
          <w:highlight w:val="none"/>
        </w:rPr>
        <w:t>。</w:t>
      </w:r>
    </w:p>
    <w:p w14:paraId="2F6DC8E3">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highlight w:val="none"/>
        </w:rPr>
      </w:pPr>
      <w:r>
        <w:rPr>
          <w:rFonts w:eastAsia="方正楷体_GBK"/>
          <w:color w:val="auto"/>
          <w:sz w:val="32"/>
          <w:szCs w:val="32"/>
          <w:highlight w:val="none"/>
        </w:rPr>
        <w:t>（二）</w:t>
      </w:r>
      <w:r>
        <w:rPr>
          <w:rFonts w:hint="eastAsia" w:eastAsia="方正楷体_GBK"/>
          <w:color w:val="auto"/>
          <w:sz w:val="32"/>
          <w:szCs w:val="32"/>
          <w:highlight w:val="none"/>
        </w:rPr>
        <w:t>聚焦科创赋能，提升创新能级</w:t>
      </w:r>
    </w:p>
    <w:p w14:paraId="73F8B8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lang w:val="en-US" w:eastAsia="zh-CN"/>
        </w:rPr>
        <w:t>强化创新策源</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val="0"/>
          <w:bCs w:val="0"/>
          <w:color w:val="auto"/>
          <w:kern w:val="0"/>
          <w:sz w:val="32"/>
          <w:szCs w:val="32"/>
          <w:lang w:val="en-US" w:eastAsia="zh-CN" w:bidi="ar"/>
        </w:rPr>
        <w:t>聚焦平台建设，推动石城实验室、医学转化研究院等创新平台科研成果转化落地</w:t>
      </w:r>
      <w:r>
        <w:rPr>
          <w:rFonts w:hint="eastAsia" w:eastAsia="方正仿宋_GBK" w:cs="Times New Roman"/>
          <w:b w:val="0"/>
          <w:bCs w:val="0"/>
          <w:color w:val="auto"/>
          <w:kern w:val="0"/>
          <w:sz w:val="32"/>
          <w:szCs w:val="32"/>
          <w:lang w:val="en-US" w:eastAsia="zh-CN" w:bidi="ar"/>
        </w:rPr>
        <w:t>。以“双高协同”为抓手，</w:t>
      </w:r>
      <w:r>
        <w:rPr>
          <w:rFonts w:hint="default" w:ascii="Times New Roman" w:hAnsi="Times New Roman" w:eastAsia="方正仿宋_GBK" w:cs="Times New Roman"/>
          <w:b w:val="0"/>
          <w:bCs w:val="0"/>
          <w:color w:val="auto"/>
          <w:kern w:val="0"/>
          <w:sz w:val="32"/>
          <w:szCs w:val="32"/>
          <w:lang w:val="en-US" w:eastAsia="zh-CN" w:bidi="ar"/>
        </w:rPr>
        <w:t>深化校地合作，完善“鼓楼高校院所协同创新发展联盟”机制，推进各高校“一校一品一特一园”建设，实现校地在空间布局、人才资源、科技创新、成果转化等领域的深度融合。</w:t>
      </w:r>
      <w:r>
        <w:rPr>
          <w:rFonts w:hint="default" w:ascii="Times New Roman" w:hAnsi="Times New Roman" w:eastAsia="方正仿宋_GBK" w:cs="Times New Roman"/>
          <w:b/>
          <w:bCs/>
          <w:color w:val="auto"/>
          <w:kern w:val="0"/>
          <w:sz w:val="32"/>
          <w:szCs w:val="32"/>
          <w:lang w:val="en-US" w:eastAsia="zh-CN" w:bidi="ar"/>
        </w:rPr>
        <w:t>培育创新主体</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bidi="ar"/>
        </w:rPr>
        <w:t>构建“科技型初创企业、科中小、高新技术企业、科技领军企业”的全过程培育链条，设立科技企业梯次培育库。新增高新技术企业180家，入库科技型中小企业2000家。提升全社会研发投入水平</w:t>
      </w:r>
      <w:r>
        <w:rPr>
          <w:rFonts w:hint="eastAsia" w:eastAsia="方正仿宋_GBK" w:cs="Times New Roman"/>
          <w:b w:val="0"/>
          <w:bCs w:val="0"/>
          <w:color w:val="auto"/>
          <w:kern w:val="0"/>
          <w:sz w:val="32"/>
          <w:szCs w:val="32"/>
          <w:lang w:val="en-US" w:eastAsia="zh-CN" w:bidi="ar"/>
        </w:rPr>
        <w:t>，</w:t>
      </w:r>
      <w:r>
        <w:rPr>
          <w:rFonts w:hint="default" w:ascii="Times New Roman" w:hAnsi="Times New Roman" w:eastAsia="方正仿宋_GBK" w:cs="Times New Roman"/>
          <w:b w:val="0"/>
          <w:bCs w:val="0"/>
          <w:color w:val="auto"/>
          <w:kern w:val="0"/>
          <w:sz w:val="32"/>
          <w:szCs w:val="32"/>
          <w:lang w:val="en-US" w:eastAsia="zh-CN" w:bidi="ar"/>
        </w:rPr>
        <w:t>实现技术合同成交额130亿元。</w:t>
      </w:r>
      <w:r>
        <w:rPr>
          <w:rFonts w:hint="default" w:ascii="Times New Roman" w:hAnsi="Times New Roman" w:eastAsia="方正仿宋_GBK" w:cs="Times New Roman"/>
          <w:b/>
          <w:bCs/>
          <w:color w:val="auto"/>
          <w:kern w:val="0"/>
          <w:sz w:val="32"/>
          <w:szCs w:val="32"/>
          <w:lang w:val="en-US" w:eastAsia="zh-CN" w:bidi="ar"/>
        </w:rPr>
        <w:t>健全人才体系</w:t>
      </w:r>
      <w:r>
        <w:rPr>
          <w:rFonts w:hint="eastAsia" w:eastAsia="方正仿宋_GBK" w:cs="Times New Roman"/>
          <w:b w:val="0"/>
          <w:bCs w:val="0"/>
          <w:color w:val="auto"/>
          <w:kern w:val="0"/>
          <w:sz w:val="32"/>
          <w:szCs w:val="32"/>
          <w:lang w:val="en-US" w:eastAsia="zh-CN" w:bidi="ar"/>
        </w:rPr>
        <w:t>。</w:t>
      </w:r>
      <w:r>
        <w:rPr>
          <w:rFonts w:hint="default" w:ascii="Times New Roman" w:hAnsi="Times New Roman" w:eastAsia="方正仿宋_GBK" w:cs="Times New Roman"/>
          <w:b w:val="0"/>
          <w:bCs w:val="0"/>
          <w:color w:val="auto"/>
          <w:kern w:val="0"/>
          <w:sz w:val="32"/>
          <w:szCs w:val="32"/>
          <w:lang w:val="en-US" w:eastAsia="zh-CN" w:bidi="ar"/>
        </w:rPr>
        <w:t>深入推进人才强区建设</w:t>
      </w:r>
      <w:r>
        <w:rPr>
          <w:rFonts w:hint="eastAsia" w:eastAsia="方正仿宋_GBK" w:cs="Times New Roman"/>
          <w:b w:val="0"/>
          <w:bCs w:val="0"/>
          <w:color w:val="auto"/>
          <w:kern w:val="0"/>
          <w:sz w:val="32"/>
          <w:szCs w:val="32"/>
          <w:lang w:val="en-US" w:eastAsia="zh-CN" w:bidi="ar"/>
        </w:rPr>
        <w:t>，完善覆盖开放引才、校企地融合、生态优化等发展全链条的人才新政体系，精准开展人才引进、项目对接与落地服务，</w:t>
      </w:r>
      <w:r>
        <w:rPr>
          <w:rFonts w:hint="eastAsia" w:ascii="Times New Roman" w:hAnsi="Times New Roman" w:eastAsia="方正仿宋_GBK" w:cs="Times New Roman"/>
          <w:b w:val="0"/>
          <w:bCs w:val="0"/>
          <w:color w:val="auto"/>
          <w:kern w:val="0"/>
          <w:sz w:val="32"/>
          <w:szCs w:val="32"/>
          <w:lang w:val="en-US" w:eastAsia="zh-CN" w:bidi="ar"/>
        </w:rPr>
        <w:t>全年</w:t>
      </w:r>
      <w:r>
        <w:rPr>
          <w:rFonts w:hint="default" w:ascii="Times New Roman" w:hAnsi="Times New Roman" w:eastAsia="方正仿宋_GBK" w:cs="Times New Roman"/>
          <w:b w:val="0"/>
          <w:bCs w:val="0"/>
          <w:color w:val="auto"/>
          <w:kern w:val="0"/>
          <w:sz w:val="32"/>
          <w:szCs w:val="32"/>
          <w:lang w:val="en-US" w:eastAsia="zh-CN" w:bidi="ar"/>
        </w:rPr>
        <w:t>新增高层次创新创业人才30名。</w:t>
      </w:r>
    </w:p>
    <w:p w14:paraId="6DF4F6B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highlight w:val="none"/>
        </w:rPr>
      </w:pPr>
      <w:r>
        <w:rPr>
          <w:rFonts w:eastAsia="方正楷体_GBK"/>
          <w:color w:val="auto"/>
          <w:sz w:val="32"/>
          <w:szCs w:val="32"/>
          <w:highlight w:val="none"/>
        </w:rPr>
        <w:t>（三）</w:t>
      </w:r>
      <w:r>
        <w:rPr>
          <w:rFonts w:hint="eastAsia" w:eastAsia="方正楷体_GBK"/>
          <w:color w:val="auto"/>
          <w:sz w:val="32"/>
          <w:szCs w:val="32"/>
          <w:highlight w:val="none"/>
        </w:rPr>
        <w:t>深耕产业升级，</w:t>
      </w:r>
      <w:r>
        <w:rPr>
          <w:rFonts w:hint="eastAsia" w:eastAsia="方正楷体_GBK"/>
          <w:color w:val="auto"/>
          <w:sz w:val="32"/>
          <w:szCs w:val="32"/>
          <w:highlight w:val="none"/>
          <w:lang w:eastAsia="zh-CN"/>
        </w:rPr>
        <w:t>培育</w:t>
      </w:r>
      <w:r>
        <w:rPr>
          <w:rFonts w:hint="eastAsia" w:eastAsia="方正楷体_GBK"/>
          <w:color w:val="auto"/>
          <w:sz w:val="32"/>
          <w:szCs w:val="32"/>
          <w:highlight w:val="none"/>
        </w:rPr>
        <w:t>发展动能</w:t>
      </w:r>
    </w:p>
    <w:p w14:paraId="134BD21F">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b/>
          <w:bCs/>
          <w:color w:val="auto"/>
          <w:sz w:val="32"/>
          <w:szCs w:val="32"/>
          <w:highlight w:val="none"/>
          <w:lang w:eastAsia="zh-CN"/>
        </w:rPr>
      </w:pPr>
      <w:r>
        <w:rPr>
          <w:rFonts w:hint="eastAsia" w:eastAsia="方正仿宋_GBK"/>
          <w:b/>
          <w:bCs/>
          <w:color w:val="auto"/>
          <w:sz w:val="32"/>
          <w:szCs w:val="32"/>
          <w:highlight w:val="none"/>
        </w:rPr>
        <w:t>壮大</w:t>
      </w:r>
      <w:r>
        <w:rPr>
          <w:rFonts w:hint="eastAsia" w:eastAsia="方正仿宋_GBK"/>
          <w:b/>
          <w:bCs/>
          <w:color w:val="auto"/>
          <w:sz w:val="32"/>
          <w:szCs w:val="32"/>
          <w:highlight w:val="none"/>
          <w:lang w:val="en-US" w:eastAsia="zh-CN"/>
        </w:rPr>
        <w:t>产业</w:t>
      </w:r>
      <w:r>
        <w:rPr>
          <w:rFonts w:hint="eastAsia" w:eastAsia="方正仿宋_GBK"/>
          <w:b/>
          <w:bCs/>
          <w:color w:val="auto"/>
          <w:sz w:val="32"/>
          <w:szCs w:val="32"/>
          <w:highlight w:val="none"/>
        </w:rPr>
        <w:t>集群。</w:t>
      </w:r>
      <w:r>
        <w:rPr>
          <w:rFonts w:hint="eastAsia" w:eastAsia="方正仿宋_GBK"/>
          <w:color w:val="auto"/>
          <w:sz w:val="32"/>
          <w:szCs w:val="32"/>
          <w:highlight w:val="none"/>
        </w:rPr>
        <w:t>聚焦细分领域形成全链条培育矩阵，推进延链补链强链</w:t>
      </w:r>
      <w:r>
        <w:rPr>
          <w:rFonts w:hint="eastAsia" w:eastAsia="方正仿宋_GBK"/>
          <w:color w:val="auto"/>
          <w:sz w:val="32"/>
          <w:szCs w:val="32"/>
          <w:highlight w:val="none"/>
          <w:lang w:eastAsia="zh-CN"/>
        </w:rPr>
        <w:t>，</w:t>
      </w:r>
      <w:r>
        <w:rPr>
          <w:rFonts w:hint="eastAsia" w:eastAsia="方正仿宋_GBK"/>
          <w:color w:val="auto"/>
          <w:sz w:val="32"/>
          <w:szCs w:val="32"/>
          <w:highlight w:val="none"/>
        </w:rPr>
        <w:t>全年新增省级以上专精特新企业5家，</w:t>
      </w:r>
      <w:r>
        <w:rPr>
          <w:rFonts w:hint="eastAsia" w:ascii="Times New Roman" w:hAnsi="Times New Roman" w:eastAsia="方正仿宋_GBK" w:cs="Times New Roman"/>
          <w:sz w:val="32"/>
          <w:szCs w:val="20"/>
        </w:rPr>
        <w:t>新</w:t>
      </w:r>
      <w:r>
        <w:rPr>
          <w:rFonts w:hint="eastAsia" w:ascii="Times New Roman" w:hAnsi="Times New Roman" w:eastAsia="方正仿宋_GBK" w:cs="Times New Roman"/>
          <w:sz w:val="32"/>
          <w:szCs w:val="20"/>
          <w:lang w:val="en-US" w:eastAsia="zh-CN"/>
        </w:rPr>
        <w:t>认定</w:t>
      </w:r>
      <w:r>
        <w:rPr>
          <w:rFonts w:hint="eastAsia" w:ascii="Times New Roman" w:hAnsi="Times New Roman" w:eastAsia="方正仿宋_GBK" w:cs="Times New Roman"/>
          <w:sz w:val="32"/>
          <w:szCs w:val="20"/>
        </w:rPr>
        <w:t>培育独角兽企业</w:t>
      </w:r>
      <w:r>
        <w:rPr>
          <w:rFonts w:hint="eastAsia" w:ascii="Times New Roman" w:hAnsi="Times New Roman" w:eastAsia="方正仿宋_GBK" w:cs="Times New Roman"/>
          <w:sz w:val="32"/>
          <w:szCs w:val="20"/>
          <w:lang w:val="en-US" w:eastAsia="zh-CN"/>
        </w:rPr>
        <w:t>、</w:t>
      </w:r>
      <w:r>
        <w:rPr>
          <w:rFonts w:hint="eastAsia" w:ascii="Times New Roman" w:hAnsi="Times New Roman" w:eastAsia="方正仿宋_GBK" w:cs="Times New Roman"/>
          <w:sz w:val="32"/>
          <w:szCs w:val="20"/>
        </w:rPr>
        <w:t>瞪羚企业</w:t>
      </w:r>
      <w:r>
        <w:rPr>
          <w:rFonts w:hint="eastAsia" w:ascii="Times New Roman" w:hAnsi="Times New Roman" w:eastAsia="方正仿宋_GBK" w:cs="Times New Roman"/>
          <w:sz w:val="32"/>
          <w:szCs w:val="20"/>
          <w:lang w:val="en-US" w:eastAsia="zh-CN"/>
        </w:rPr>
        <w:t>1</w:t>
      </w:r>
      <w:r>
        <w:rPr>
          <w:rFonts w:hint="eastAsia" w:eastAsia="方正仿宋_GBK" w:cs="Times New Roman"/>
          <w:sz w:val="32"/>
          <w:szCs w:val="20"/>
          <w:lang w:val="en-US" w:eastAsia="zh-CN"/>
        </w:rPr>
        <w:t>0</w:t>
      </w:r>
      <w:r>
        <w:rPr>
          <w:rFonts w:hint="eastAsia" w:ascii="Times New Roman" w:hAnsi="Times New Roman" w:eastAsia="方正仿宋_GBK" w:cs="Times New Roman"/>
          <w:sz w:val="32"/>
          <w:szCs w:val="20"/>
          <w:lang w:val="en-US" w:eastAsia="zh-CN"/>
        </w:rPr>
        <w:t>家</w:t>
      </w:r>
      <w:r>
        <w:rPr>
          <w:rFonts w:hint="eastAsia" w:eastAsia="方正仿宋_GBK"/>
          <w:color w:val="auto"/>
          <w:sz w:val="32"/>
          <w:szCs w:val="32"/>
          <w:highlight w:val="none"/>
          <w:lang w:eastAsia="zh-CN"/>
        </w:rPr>
        <w:t>，</w:t>
      </w:r>
      <w:r>
        <w:rPr>
          <w:rFonts w:hint="eastAsia" w:eastAsia="方正仿宋_GBK"/>
          <w:color w:val="auto"/>
          <w:sz w:val="32"/>
          <w:szCs w:val="32"/>
          <w:highlight w:val="none"/>
        </w:rPr>
        <w:t>新增上市、挂牌企业数6家。持续推动先进制造业与现代服务业深度融合，打造“两业融合”试点项目、拓展应用场景，形成新业态新模式，促进产业集群发展。</w:t>
      </w:r>
      <w:r>
        <w:rPr>
          <w:rFonts w:hint="eastAsia" w:eastAsia="方正仿宋_GBK"/>
          <w:b/>
          <w:bCs/>
          <w:color w:val="auto"/>
          <w:sz w:val="32"/>
          <w:szCs w:val="32"/>
          <w:highlight w:val="none"/>
        </w:rPr>
        <w:t>夯实创新基础。</w:t>
      </w:r>
      <w:r>
        <w:rPr>
          <w:rFonts w:hint="eastAsia" w:eastAsia="方正仿宋_GBK"/>
          <w:b w:val="0"/>
          <w:bCs w:val="0"/>
          <w:color w:val="auto"/>
          <w:sz w:val="32"/>
          <w:szCs w:val="32"/>
          <w:highlight w:val="none"/>
          <w:lang w:val="en-US" w:eastAsia="zh-CN"/>
        </w:rPr>
        <w:t>深入实施“人工智能+”行动，</w:t>
      </w:r>
      <w:r>
        <w:rPr>
          <w:rFonts w:hint="eastAsia" w:eastAsia="方正仿宋_GBK"/>
          <w:b w:val="0"/>
          <w:bCs w:val="0"/>
          <w:color w:val="auto"/>
          <w:sz w:val="32"/>
          <w:szCs w:val="32"/>
          <w:highlight w:val="none"/>
        </w:rPr>
        <w:t>夯</w:t>
      </w:r>
      <w:r>
        <w:rPr>
          <w:rFonts w:hint="eastAsia" w:eastAsia="方正仿宋_GBK"/>
          <w:color w:val="auto"/>
          <w:sz w:val="32"/>
          <w:szCs w:val="32"/>
          <w:highlight w:val="none"/>
        </w:rPr>
        <w:t>实算法、算力、数据</w:t>
      </w:r>
      <w:r>
        <w:rPr>
          <w:rFonts w:hint="eastAsia" w:eastAsia="方正仿宋_GBK"/>
          <w:color w:val="auto"/>
          <w:sz w:val="32"/>
          <w:szCs w:val="32"/>
          <w:highlight w:val="none"/>
          <w:lang w:val="en-US" w:eastAsia="zh-CN"/>
        </w:rPr>
        <w:t>支撑</w:t>
      </w:r>
      <w:r>
        <w:rPr>
          <w:rFonts w:hint="eastAsia" w:eastAsia="方正仿宋_GBK"/>
          <w:color w:val="auto"/>
          <w:sz w:val="32"/>
          <w:szCs w:val="32"/>
          <w:highlight w:val="none"/>
        </w:rPr>
        <w:t>，构建政企算力协同体系，强化“算数券</w:t>
      </w:r>
      <w:r>
        <w:rPr>
          <w:rStyle w:val="15"/>
          <w:rFonts w:eastAsia="方正仿宋_GBK"/>
          <w:color w:val="auto"/>
          <w:sz w:val="32"/>
          <w:szCs w:val="32"/>
          <w:highlight w:val="none"/>
        </w:rPr>
        <w:footnoteReference w:id="6"/>
      </w:r>
      <w:r>
        <w:rPr>
          <w:rFonts w:hint="eastAsia" w:eastAsia="方正仿宋_GBK"/>
          <w:color w:val="auto"/>
          <w:sz w:val="32"/>
          <w:szCs w:val="32"/>
          <w:highlight w:val="none"/>
        </w:rPr>
        <w:t>”政策运用，推动高质量数据集建设。以江苏（南京）算数空间为核心，加快打造智能体双创中心</w:t>
      </w:r>
      <w:r>
        <w:rPr>
          <w:rFonts w:hint="eastAsia" w:eastAsia="方正仿宋_GBK"/>
          <w:color w:val="auto"/>
          <w:sz w:val="32"/>
          <w:szCs w:val="32"/>
          <w:highlight w:val="none"/>
          <w:lang w:eastAsia="zh-CN"/>
        </w:rPr>
        <w:t>，</w:t>
      </w:r>
      <w:r>
        <w:rPr>
          <w:rFonts w:hint="eastAsia" w:eastAsia="方正仿宋_GBK"/>
          <w:b w:val="0"/>
          <w:bCs w:val="0"/>
          <w:color w:val="auto"/>
          <w:sz w:val="32"/>
          <w:szCs w:val="32"/>
          <w:highlight w:val="none"/>
          <w:lang w:val="en-US" w:eastAsia="zh-CN"/>
        </w:rPr>
        <w:t>推进模范路人工智能创新街区、OPC</w:t>
      </w:r>
      <w:r>
        <w:rPr>
          <w:rStyle w:val="15"/>
          <w:rFonts w:hint="eastAsia" w:eastAsia="方正仿宋_GBK"/>
          <w:b w:val="0"/>
          <w:bCs w:val="0"/>
          <w:color w:val="auto"/>
          <w:sz w:val="32"/>
          <w:szCs w:val="32"/>
          <w:highlight w:val="none"/>
          <w:lang w:val="en-US" w:eastAsia="zh-CN"/>
        </w:rPr>
        <w:footnoteReference w:id="7"/>
      </w:r>
      <w:r>
        <w:rPr>
          <w:rFonts w:hint="eastAsia" w:eastAsia="方正仿宋_GBK"/>
          <w:b w:val="0"/>
          <w:bCs w:val="0"/>
          <w:color w:val="auto"/>
          <w:sz w:val="32"/>
          <w:szCs w:val="32"/>
          <w:highlight w:val="none"/>
          <w:lang w:val="en-US" w:eastAsia="zh-CN"/>
        </w:rPr>
        <w:t>孵化社区、脑机接口创新区等建设</w:t>
      </w:r>
      <w:r>
        <w:rPr>
          <w:rFonts w:hint="eastAsia" w:eastAsia="方正仿宋_GBK"/>
          <w:b w:val="0"/>
          <w:bCs w:val="0"/>
          <w:color w:val="auto"/>
          <w:sz w:val="32"/>
          <w:szCs w:val="32"/>
          <w:highlight w:val="none"/>
          <w:lang w:eastAsia="zh-CN"/>
        </w:rPr>
        <w:t>。</w:t>
      </w:r>
      <w:r>
        <w:rPr>
          <w:rFonts w:hint="eastAsia" w:eastAsia="方正仿宋_GBK"/>
          <w:b/>
          <w:bCs/>
          <w:color w:val="auto"/>
          <w:sz w:val="32"/>
          <w:szCs w:val="32"/>
          <w:highlight w:val="none"/>
          <w:lang w:eastAsia="zh-CN"/>
        </w:rPr>
        <w:t>优化</w:t>
      </w:r>
      <w:r>
        <w:rPr>
          <w:rFonts w:hint="eastAsia" w:eastAsia="方正仿宋_GBK"/>
          <w:b/>
          <w:bCs/>
          <w:color w:val="auto"/>
          <w:sz w:val="32"/>
          <w:szCs w:val="32"/>
          <w:highlight w:val="none"/>
          <w:lang w:val="en-US" w:eastAsia="zh-CN"/>
        </w:rPr>
        <w:t>产业</w:t>
      </w:r>
      <w:r>
        <w:rPr>
          <w:rFonts w:hint="eastAsia" w:eastAsia="方正仿宋_GBK"/>
          <w:b/>
          <w:bCs/>
          <w:color w:val="auto"/>
          <w:sz w:val="32"/>
          <w:szCs w:val="32"/>
          <w:highlight w:val="none"/>
          <w:lang w:eastAsia="zh-CN"/>
        </w:rPr>
        <w:t>生态</w:t>
      </w:r>
      <w:r>
        <w:rPr>
          <w:rFonts w:hint="eastAsia" w:eastAsia="方正仿宋_GBK"/>
          <w:b/>
          <w:bCs/>
          <w:color w:val="auto"/>
          <w:sz w:val="32"/>
          <w:szCs w:val="32"/>
          <w:highlight w:val="none"/>
        </w:rPr>
        <w:t>。</w:t>
      </w:r>
      <w:r>
        <w:rPr>
          <w:rFonts w:hint="eastAsia" w:ascii="Times New Roman" w:hAnsi="Times New Roman" w:eastAsia="方正仿宋_GBK" w:cs="Times New Roman"/>
          <w:color w:val="auto"/>
          <w:sz w:val="32"/>
          <w:szCs w:val="32"/>
          <w:highlight w:val="none"/>
        </w:rPr>
        <w:t>动态优化“1+N”政策体系</w:t>
      </w:r>
      <w:r>
        <w:rPr>
          <w:rFonts w:hint="eastAsia" w:ascii="Times New Roman" w:hAnsi="Times New Roman" w:eastAsia="方正仿宋_GBK" w:cs="Times New Roman"/>
          <w:color w:val="auto"/>
          <w:sz w:val="32"/>
          <w:szCs w:val="32"/>
          <w:highlight w:val="none"/>
          <w:lang w:eastAsia="zh-CN"/>
        </w:rPr>
        <w:t>，</w:t>
      </w:r>
      <w:r>
        <w:rPr>
          <w:rFonts w:hint="eastAsia" w:eastAsia="方正仿宋_GBK"/>
          <w:b w:val="0"/>
          <w:bCs w:val="0"/>
          <w:color w:val="auto"/>
          <w:sz w:val="32"/>
          <w:szCs w:val="32"/>
          <w:highlight w:val="none"/>
        </w:rPr>
        <w:t>办好“谈鼓论金</w:t>
      </w:r>
      <w:r>
        <w:rPr>
          <w:rStyle w:val="15"/>
          <w:rFonts w:eastAsia="方正仿宋_GBK"/>
          <w:color w:val="auto"/>
          <w:sz w:val="32"/>
          <w:szCs w:val="32"/>
          <w:highlight w:val="none"/>
        </w:rPr>
        <w:footnoteReference w:id="8"/>
      </w:r>
      <w:r>
        <w:rPr>
          <w:rFonts w:hint="eastAsia" w:eastAsia="方正仿宋_GBK"/>
          <w:b w:val="0"/>
          <w:bCs w:val="0"/>
          <w:color w:val="auto"/>
          <w:sz w:val="32"/>
          <w:szCs w:val="32"/>
          <w:highlight w:val="none"/>
        </w:rPr>
        <w:t>”“巷心力</w:t>
      </w:r>
      <w:r>
        <w:rPr>
          <w:rStyle w:val="15"/>
          <w:rFonts w:eastAsia="方正仿宋_GBK"/>
          <w:color w:val="auto"/>
          <w:sz w:val="32"/>
          <w:szCs w:val="32"/>
          <w:highlight w:val="none"/>
        </w:rPr>
        <w:footnoteReference w:id="9"/>
      </w:r>
      <w:r>
        <w:rPr>
          <w:rFonts w:hint="eastAsia" w:eastAsia="方正仿宋_GBK"/>
          <w:b w:val="0"/>
          <w:bCs w:val="0"/>
          <w:color w:val="auto"/>
          <w:sz w:val="32"/>
          <w:szCs w:val="32"/>
          <w:highlight w:val="none"/>
        </w:rPr>
        <w:t>”“科享链</w:t>
      </w:r>
      <w:r>
        <w:rPr>
          <w:rStyle w:val="15"/>
          <w:rFonts w:eastAsia="方正仿宋_GBK"/>
          <w:color w:val="auto"/>
          <w:sz w:val="32"/>
          <w:szCs w:val="32"/>
          <w:highlight w:val="none"/>
        </w:rPr>
        <w:footnoteReference w:id="10"/>
      </w:r>
      <w:r>
        <w:rPr>
          <w:rFonts w:hint="eastAsia" w:eastAsia="方正仿宋_GBK"/>
          <w:b w:val="0"/>
          <w:bCs w:val="0"/>
          <w:color w:val="auto"/>
          <w:sz w:val="32"/>
          <w:szCs w:val="32"/>
          <w:highlight w:val="none"/>
        </w:rPr>
        <w:t>”等品牌活动，</w:t>
      </w:r>
      <w:r>
        <w:rPr>
          <w:rFonts w:hint="eastAsia" w:ascii="Times New Roman" w:hAnsi="Times New Roman" w:eastAsia="方正仿宋_GBK" w:cs="Times New Roman"/>
          <w:color w:val="auto"/>
          <w:sz w:val="32"/>
          <w:szCs w:val="32"/>
          <w:highlight w:val="none"/>
        </w:rPr>
        <w:t>多渠道加强惠企政策宣传解读，确保各项惠企举措直达快享、应享尽享。推动“2+N”基金集群</w:t>
      </w:r>
      <w:r>
        <w:rPr>
          <w:rStyle w:val="15"/>
          <w:rFonts w:eastAsia="方正仿宋_GBK"/>
          <w:color w:val="auto"/>
          <w:sz w:val="32"/>
          <w:szCs w:val="32"/>
          <w:highlight w:val="none"/>
        </w:rPr>
        <w:footnoteReference w:id="11"/>
      </w:r>
      <w:r>
        <w:rPr>
          <w:rFonts w:hint="eastAsia" w:ascii="Times New Roman" w:hAnsi="Times New Roman" w:eastAsia="方正仿宋_GBK" w:cs="Times New Roman"/>
          <w:color w:val="auto"/>
          <w:sz w:val="32"/>
          <w:szCs w:val="32"/>
          <w:highlight w:val="none"/>
        </w:rPr>
        <w:t>加快落地</w:t>
      </w:r>
      <w:r>
        <w:rPr>
          <w:rFonts w:hint="eastAsia" w:ascii="Times New Roman" w:hAnsi="Times New Roman" w:eastAsia="方正仿宋_GBK" w:cs="Times New Roman"/>
          <w:color w:val="auto"/>
          <w:sz w:val="32"/>
          <w:szCs w:val="32"/>
          <w:highlight w:val="none"/>
          <w:lang w:eastAsia="zh-CN"/>
        </w:rPr>
        <w:t>，引导金融资源向人工智能、绿色低碳、生物医药等重点领域精准倾斜，破解企业融资难题。</w:t>
      </w:r>
    </w:p>
    <w:p w14:paraId="35D50F2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highlight w:val="none"/>
        </w:rPr>
      </w:pPr>
      <w:r>
        <w:rPr>
          <w:rFonts w:hint="eastAsia" w:eastAsia="方正楷体_GBK"/>
          <w:color w:val="auto"/>
          <w:sz w:val="32"/>
          <w:szCs w:val="32"/>
          <w:highlight w:val="none"/>
        </w:rPr>
        <w:t>（四）优化城市功能，推动品质跃升</w:t>
      </w:r>
    </w:p>
    <w:p w14:paraId="49B212FE">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仿宋_GBK"/>
          <w:color w:val="auto"/>
          <w:sz w:val="32"/>
          <w:szCs w:val="32"/>
          <w:highlight w:val="none"/>
        </w:rPr>
      </w:pPr>
      <w:r>
        <w:rPr>
          <w:rFonts w:hint="eastAsia" w:eastAsia="方正仿宋_GBK"/>
          <w:b/>
          <w:bCs/>
          <w:color w:val="auto"/>
          <w:sz w:val="32"/>
          <w:szCs w:val="32"/>
          <w:highlight w:val="none"/>
          <w:lang w:val="en-US" w:eastAsia="zh-CN"/>
        </w:rPr>
        <w:t>提速</w:t>
      </w:r>
      <w:r>
        <w:rPr>
          <w:rFonts w:hint="eastAsia" w:eastAsia="方正仿宋_GBK"/>
          <w:b/>
          <w:bCs/>
          <w:color w:val="auto"/>
          <w:sz w:val="32"/>
          <w:szCs w:val="32"/>
          <w:highlight w:val="none"/>
        </w:rPr>
        <w:t>城市更新。</w:t>
      </w:r>
      <w:r>
        <w:rPr>
          <w:rFonts w:hint="eastAsia" w:eastAsia="方正仿宋_GBK"/>
          <w:color w:val="auto"/>
          <w:sz w:val="32"/>
          <w:szCs w:val="32"/>
          <w:highlight w:val="none"/>
        </w:rPr>
        <w:t>破解居住类更新难题，针对城河村、芦席营82号、汉口西路134号等项目，争取土地供应、增量去化等配套政策支持。保障土地高效利用，</w:t>
      </w:r>
      <w:r>
        <w:rPr>
          <w:rFonts w:hint="eastAsia" w:eastAsia="方正仿宋_GBK"/>
          <w:color w:val="auto"/>
          <w:sz w:val="32"/>
          <w:szCs w:val="32"/>
          <w:highlight w:val="none"/>
          <w:lang w:val="en-US" w:eastAsia="zh-CN"/>
        </w:rPr>
        <w:t>推动</w:t>
      </w:r>
      <w:r>
        <w:rPr>
          <w:rFonts w:hint="eastAsia" w:eastAsia="方正仿宋_GBK"/>
          <w:color w:val="auto"/>
          <w:sz w:val="32"/>
          <w:szCs w:val="32"/>
          <w:highlight w:val="none"/>
        </w:rPr>
        <w:t>滨江03-10地块</w:t>
      </w:r>
      <w:r>
        <w:rPr>
          <w:rFonts w:hint="eastAsia" w:eastAsia="方正仿宋_GBK"/>
          <w:color w:val="auto"/>
          <w:sz w:val="32"/>
          <w:szCs w:val="32"/>
          <w:highlight w:val="none"/>
          <w:lang w:val="en-US" w:eastAsia="zh-CN"/>
        </w:rPr>
        <w:t>完成</w:t>
      </w:r>
      <w:r>
        <w:rPr>
          <w:rFonts w:hint="eastAsia" w:eastAsia="方正仿宋_GBK"/>
          <w:color w:val="auto"/>
          <w:sz w:val="32"/>
          <w:szCs w:val="32"/>
          <w:highlight w:val="none"/>
        </w:rPr>
        <w:t>出让，力争花卉市场、老虎山西侧地块</w:t>
      </w:r>
      <w:r>
        <w:rPr>
          <w:rFonts w:hint="eastAsia" w:eastAsia="方正仿宋_GBK"/>
          <w:color w:val="auto"/>
          <w:sz w:val="32"/>
          <w:szCs w:val="32"/>
          <w:highlight w:val="none"/>
          <w:lang w:val="en-US" w:eastAsia="zh-CN"/>
        </w:rPr>
        <w:t>实现</w:t>
      </w:r>
      <w:r>
        <w:rPr>
          <w:rFonts w:hint="eastAsia" w:eastAsia="方正仿宋_GBK"/>
          <w:color w:val="auto"/>
          <w:sz w:val="32"/>
          <w:szCs w:val="32"/>
          <w:highlight w:val="none"/>
        </w:rPr>
        <w:t>出让，推进三汊河南街后街、绣球公园西门等地块前期工作。</w:t>
      </w:r>
      <w:r>
        <w:rPr>
          <w:rFonts w:hint="eastAsia" w:eastAsia="方正仿宋_GBK"/>
          <w:b/>
          <w:bCs/>
          <w:color w:val="auto"/>
          <w:sz w:val="32"/>
          <w:szCs w:val="32"/>
          <w:highlight w:val="none"/>
        </w:rPr>
        <w:t>提升治理水平。</w:t>
      </w:r>
      <w:r>
        <w:rPr>
          <w:rFonts w:hint="eastAsia" w:eastAsia="方正仿宋_GBK"/>
          <w:color w:val="auto"/>
          <w:sz w:val="32"/>
          <w:szCs w:val="32"/>
          <w:highlight w:val="none"/>
        </w:rPr>
        <w:t>深化“一网统管”平台应用，强化工单智能分拨和应急指挥调度功能，优化防汛防台、重大活动保障等场景，拓展困难老人守护等“高效处置一件事”覆盖范围。尝试大模型、智能体等新技术与治理需求融合，推动城市治理数字化升级。</w:t>
      </w:r>
      <w:r>
        <w:rPr>
          <w:rFonts w:hint="eastAsia" w:eastAsia="方正仿宋_GBK"/>
          <w:b/>
          <w:bCs/>
          <w:color w:val="auto"/>
          <w:sz w:val="32"/>
          <w:szCs w:val="32"/>
          <w:highlight w:val="none"/>
        </w:rPr>
        <w:t>厚植生态底色。</w:t>
      </w:r>
      <w:r>
        <w:rPr>
          <w:rFonts w:hint="eastAsia" w:eastAsia="方正仿宋_GBK"/>
          <w:color w:val="auto"/>
          <w:sz w:val="32"/>
          <w:szCs w:val="32"/>
          <w:highlight w:val="none"/>
        </w:rPr>
        <w:t>持续深化水污染防治，加强重点排污单位常态化监管，保障地表水省考断面达到或好于</w:t>
      </w:r>
      <w:r>
        <w:rPr>
          <w:rFonts w:hint="eastAsia" w:eastAsia="方正仿宋_GBK"/>
          <w:color w:val="auto"/>
          <w:sz w:val="32"/>
          <w:szCs w:val="32"/>
          <w:highlight w:val="none"/>
          <w:lang w:eastAsia="zh-CN"/>
        </w:rPr>
        <w:t>Ⅲ类</w:t>
      </w:r>
      <w:r>
        <w:rPr>
          <w:rFonts w:hint="eastAsia" w:eastAsia="方正仿宋_GBK"/>
          <w:color w:val="auto"/>
          <w:sz w:val="32"/>
          <w:szCs w:val="32"/>
          <w:highlight w:val="none"/>
        </w:rPr>
        <w:t>水质比例保持100%。改善人居环境，保持垃圾分类普及率100%，城市生活垃圾资源化利用率87%以上。加强绿化管养，全区绿地率达35.3%</w:t>
      </w:r>
      <w:r>
        <w:rPr>
          <w:rFonts w:hint="eastAsia" w:eastAsia="方正仿宋_GBK"/>
          <w:color w:val="auto"/>
          <w:sz w:val="32"/>
          <w:szCs w:val="32"/>
          <w:highlight w:val="none"/>
          <w:lang w:eastAsia="zh-CN"/>
        </w:rPr>
        <w:t>，</w:t>
      </w:r>
      <w:r>
        <w:rPr>
          <w:rFonts w:hint="eastAsia" w:eastAsia="方正仿宋_GBK"/>
          <w:color w:val="auto"/>
          <w:sz w:val="32"/>
          <w:szCs w:val="32"/>
          <w:highlight w:val="none"/>
        </w:rPr>
        <w:t>公园绿地服务半径覆盖率达92.5%。</w:t>
      </w:r>
    </w:p>
    <w:p w14:paraId="6555B3BA">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eastAsia="方正楷体_GBK"/>
          <w:color w:val="auto"/>
          <w:sz w:val="32"/>
          <w:szCs w:val="32"/>
          <w:highlight w:val="none"/>
        </w:rPr>
      </w:pPr>
      <w:r>
        <w:rPr>
          <w:rFonts w:hint="eastAsia" w:eastAsia="方正楷体_GBK"/>
          <w:color w:val="auto"/>
          <w:sz w:val="32"/>
          <w:szCs w:val="32"/>
          <w:highlight w:val="none"/>
          <w:lang w:val="en-US" w:eastAsia="zh-CN"/>
        </w:rPr>
        <w:t>强化</w:t>
      </w:r>
      <w:r>
        <w:rPr>
          <w:rFonts w:hint="eastAsia" w:eastAsia="方正楷体_GBK"/>
          <w:color w:val="auto"/>
          <w:sz w:val="32"/>
          <w:szCs w:val="32"/>
          <w:highlight w:val="none"/>
        </w:rPr>
        <w:t>民生保障，增进福祉水平</w:t>
      </w:r>
    </w:p>
    <w:p w14:paraId="506E6B4A">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方正仿宋_GBK"/>
          <w:b/>
          <w:color w:val="auto"/>
          <w:sz w:val="32"/>
          <w:szCs w:val="32"/>
          <w:highlight w:val="yellow"/>
          <w:lang w:val="en-US" w:eastAsia="zh-CN"/>
        </w:rPr>
      </w:pPr>
      <w:r>
        <w:rPr>
          <w:rFonts w:hint="eastAsia" w:ascii="方正仿宋_GBK" w:hAnsi="方正仿宋_GBK" w:eastAsia="方正仿宋_GBK" w:cs="方正仿宋_GBK"/>
          <w:b/>
          <w:bCs/>
          <w:color w:val="auto"/>
          <w:sz w:val="32"/>
          <w:szCs w:val="32"/>
          <w:highlight w:val="none"/>
        </w:rPr>
        <w:t>立足兜底保障</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健全“一事一议”救助机制，推动救助服务从“实物供给”向“实物+服务”延伸。确保低收入人口服务保障覆盖率、残疾人“两项补贴”精准发放率、困境儿童基本生活保障率、基本养老服务保障达标率均达</w:t>
      </w:r>
      <w:r>
        <w:rPr>
          <w:rFonts w:eastAsia="方正仿宋_GBK"/>
          <w:color w:val="auto"/>
          <w:sz w:val="32"/>
          <w:szCs w:val="32"/>
          <w:highlight w:val="none"/>
        </w:rPr>
        <w:t>100%。</w:t>
      </w:r>
      <w:r>
        <w:rPr>
          <w:rFonts w:hint="eastAsia" w:eastAsia="方正仿宋_GBK"/>
          <w:b/>
          <w:bCs/>
          <w:color w:val="auto"/>
          <w:sz w:val="32"/>
          <w:szCs w:val="32"/>
          <w:highlight w:val="none"/>
        </w:rPr>
        <w:t>稳定就业大局。</w:t>
      </w:r>
      <w:r>
        <w:rPr>
          <w:rFonts w:hint="eastAsia" w:eastAsia="方正仿宋_GBK"/>
          <w:color w:val="auto"/>
          <w:sz w:val="32"/>
          <w:szCs w:val="32"/>
          <w:highlight w:val="none"/>
        </w:rPr>
        <w:t>聚焦青年大学生留宁就业，分层分类开展高校毕业生主题招聘会，修订完善就业支持政策细则。对离校未就业大学生提供“订单式”服务，联动挖掘适配岗位并开展多层级招聘与就业指导。拓展就业招聘渠道</w:t>
      </w:r>
      <w:r>
        <w:rPr>
          <w:rFonts w:hint="eastAsia" w:eastAsia="方正仿宋_GBK"/>
          <w:color w:val="auto"/>
          <w:sz w:val="32"/>
          <w:szCs w:val="32"/>
          <w:highlight w:val="none"/>
          <w:lang w:eastAsia="zh-CN"/>
        </w:rPr>
        <w:t>、</w:t>
      </w:r>
      <w:r>
        <w:rPr>
          <w:rFonts w:hint="eastAsia" w:eastAsia="方正仿宋_GBK"/>
          <w:color w:val="auto"/>
          <w:sz w:val="32"/>
          <w:szCs w:val="32"/>
          <w:highlight w:val="none"/>
        </w:rPr>
        <w:t>全年举办26场人才夜市</w:t>
      </w:r>
      <w:r>
        <w:rPr>
          <w:rFonts w:hint="eastAsia" w:eastAsia="方正仿宋_GBK"/>
          <w:color w:val="auto"/>
          <w:sz w:val="32"/>
          <w:szCs w:val="32"/>
          <w:highlight w:val="none"/>
          <w:lang w:eastAsia="zh-CN"/>
        </w:rPr>
        <w:t>。</w:t>
      </w:r>
      <w:r>
        <w:rPr>
          <w:rFonts w:hint="eastAsia" w:eastAsia="方正仿宋_GBK"/>
          <w:color w:val="auto"/>
          <w:sz w:val="32"/>
          <w:szCs w:val="32"/>
          <w:highlight w:val="none"/>
        </w:rPr>
        <w:t>实现新增城镇就业</w:t>
      </w:r>
      <w:r>
        <w:rPr>
          <w:rFonts w:hint="eastAsia" w:eastAsia="方正仿宋_GBK"/>
          <w:color w:val="auto"/>
          <w:sz w:val="32"/>
          <w:szCs w:val="32"/>
          <w:highlight w:val="none"/>
          <w:lang w:val="en-US" w:eastAsia="zh-CN"/>
        </w:rPr>
        <w:t>2.1万</w:t>
      </w:r>
      <w:r>
        <w:rPr>
          <w:rFonts w:hint="eastAsia" w:eastAsia="方正仿宋_GBK"/>
          <w:color w:val="auto"/>
          <w:sz w:val="32"/>
          <w:szCs w:val="32"/>
          <w:highlight w:val="none"/>
        </w:rPr>
        <w:t>人、援助就业困难人员1</w:t>
      </w:r>
      <w:r>
        <w:rPr>
          <w:rFonts w:hint="eastAsia" w:eastAsia="方正仿宋_GBK"/>
          <w:color w:val="auto"/>
          <w:sz w:val="32"/>
          <w:szCs w:val="32"/>
          <w:highlight w:val="none"/>
          <w:lang w:val="en-US" w:eastAsia="zh-CN"/>
        </w:rPr>
        <w:t>5</w:t>
      </w:r>
      <w:r>
        <w:rPr>
          <w:rFonts w:hint="eastAsia" w:eastAsia="方正仿宋_GBK"/>
          <w:color w:val="auto"/>
          <w:sz w:val="32"/>
          <w:szCs w:val="32"/>
          <w:highlight w:val="none"/>
        </w:rPr>
        <w:t>00人。</w:t>
      </w:r>
      <w:r>
        <w:rPr>
          <w:rFonts w:hint="eastAsia" w:eastAsia="方正仿宋_GBK"/>
          <w:b/>
          <w:color w:val="auto"/>
          <w:sz w:val="32"/>
          <w:szCs w:val="32"/>
          <w:highlight w:val="none"/>
        </w:rPr>
        <w:t>护航“一老一幼”。</w:t>
      </w:r>
      <w:r>
        <w:rPr>
          <w:rFonts w:hint="eastAsia" w:eastAsia="方正仿宋_GBK"/>
          <w:bCs/>
          <w:color w:val="auto"/>
          <w:sz w:val="32"/>
          <w:szCs w:val="32"/>
          <w:highlight w:val="none"/>
        </w:rPr>
        <w:t>守护重点人群健康，为65岁以上老年人免费接种肺炎疫苗，为1500名适龄儿童提供免费窝沟封闭服务。</w:t>
      </w:r>
      <w:r>
        <w:rPr>
          <w:rFonts w:eastAsia="方正仿宋_GBK"/>
          <w:bCs/>
          <w:color w:val="auto"/>
          <w:sz w:val="32"/>
          <w:szCs w:val="32"/>
          <w:highlight w:val="none"/>
        </w:rPr>
        <w:t>扩大普惠托育服务，</w:t>
      </w:r>
      <w:r>
        <w:rPr>
          <w:rFonts w:hint="eastAsia" w:eastAsia="方正仿宋_GBK"/>
          <w:bCs/>
          <w:color w:val="auto"/>
          <w:sz w:val="32"/>
          <w:szCs w:val="32"/>
          <w:highlight w:val="none"/>
          <w:lang w:val="en-US" w:eastAsia="zh-CN"/>
        </w:rPr>
        <w:t>实现</w:t>
      </w:r>
      <w:r>
        <w:rPr>
          <w:rFonts w:hint="eastAsia" w:eastAsia="方正仿宋_GBK"/>
          <w:bCs/>
          <w:color w:val="auto"/>
          <w:sz w:val="32"/>
          <w:szCs w:val="32"/>
          <w:highlight w:val="none"/>
        </w:rPr>
        <w:t>每千名3岁以下婴幼儿拥有托位数</w:t>
      </w:r>
      <w:r>
        <w:rPr>
          <w:rFonts w:hint="eastAsia" w:eastAsia="方正仿宋_GBK"/>
          <w:bCs/>
          <w:color w:val="auto"/>
          <w:sz w:val="32"/>
          <w:szCs w:val="32"/>
          <w:highlight w:val="none"/>
          <w:lang w:val="en-US" w:eastAsia="zh-CN"/>
        </w:rPr>
        <w:t>300</w:t>
      </w:r>
      <w:r>
        <w:rPr>
          <w:rFonts w:hint="eastAsia" w:eastAsia="方正仿宋_GBK"/>
          <w:bCs/>
          <w:color w:val="auto"/>
          <w:sz w:val="32"/>
          <w:szCs w:val="32"/>
          <w:highlight w:val="none"/>
        </w:rPr>
        <w:t>个。</w:t>
      </w:r>
    </w:p>
    <w:p w14:paraId="3716CF20">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color w:val="auto"/>
          <w:sz w:val="32"/>
          <w:szCs w:val="32"/>
          <w:highlight w:val="none"/>
        </w:rPr>
      </w:pPr>
      <w:r>
        <w:rPr>
          <w:rFonts w:eastAsia="方正楷体_GBK"/>
          <w:color w:val="auto"/>
          <w:sz w:val="32"/>
          <w:szCs w:val="32"/>
          <w:highlight w:val="none"/>
        </w:rPr>
        <w:t>（</w:t>
      </w:r>
      <w:r>
        <w:rPr>
          <w:rFonts w:hint="eastAsia" w:eastAsia="方正楷体_GBK"/>
          <w:color w:val="auto"/>
          <w:sz w:val="32"/>
          <w:szCs w:val="32"/>
          <w:highlight w:val="none"/>
        </w:rPr>
        <w:t>六</w:t>
      </w:r>
      <w:r>
        <w:rPr>
          <w:rFonts w:eastAsia="方正楷体_GBK"/>
          <w:color w:val="auto"/>
          <w:sz w:val="32"/>
          <w:szCs w:val="32"/>
          <w:highlight w:val="none"/>
        </w:rPr>
        <w:t>）</w:t>
      </w:r>
      <w:r>
        <w:rPr>
          <w:rFonts w:hint="eastAsia" w:eastAsia="方正楷体_GBK"/>
          <w:color w:val="auto"/>
          <w:sz w:val="32"/>
          <w:szCs w:val="32"/>
          <w:highlight w:val="none"/>
        </w:rPr>
        <w:t>筑牢安全防线，提升治理效能</w:t>
      </w:r>
    </w:p>
    <w:p w14:paraId="0114BEE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szCs w:val="40"/>
          <w:lang w:eastAsia="zh-CN"/>
        </w:rPr>
      </w:pPr>
      <w:r>
        <w:rPr>
          <w:rFonts w:hint="eastAsia" w:eastAsia="方正仿宋_GBK"/>
          <w:b/>
          <w:bCs/>
          <w:color w:val="auto"/>
          <w:sz w:val="32"/>
          <w:szCs w:val="32"/>
          <w:highlight w:val="none"/>
          <w:lang w:val="en-US" w:eastAsia="zh-CN"/>
        </w:rPr>
        <w:t>防范重点风险</w:t>
      </w:r>
      <w:r>
        <w:rPr>
          <w:rFonts w:hint="eastAsia" w:eastAsia="方正仿宋_GBK"/>
          <w:b/>
          <w:bCs/>
          <w:color w:val="auto"/>
          <w:sz w:val="32"/>
          <w:szCs w:val="32"/>
          <w:highlight w:val="none"/>
        </w:rPr>
        <w:t>。</w:t>
      </w:r>
      <w:r>
        <w:rPr>
          <w:rFonts w:hint="eastAsia" w:eastAsia="方正仿宋_GBK"/>
          <w:color w:val="auto"/>
          <w:sz w:val="32"/>
          <w:szCs w:val="32"/>
          <w:highlight w:val="none"/>
        </w:rPr>
        <w:t>纵深推进安全治本攻坚三年行动，完善全链条治理机制，滚动开展隐患排查与闭环整改。</w:t>
      </w:r>
      <w:r>
        <w:rPr>
          <w:rFonts w:hint="eastAsia" w:eastAsia="方正仿宋_GBK"/>
          <w:color w:val="auto"/>
          <w:sz w:val="32"/>
          <w:szCs w:val="32"/>
          <w:highlight w:val="none"/>
          <w:lang w:eastAsia="zh-CN"/>
        </w:rPr>
        <w:t>确保</w:t>
      </w:r>
      <w:r>
        <w:rPr>
          <w:rFonts w:hint="eastAsia" w:eastAsia="方正仿宋_GBK"/>
          <w:color w:val="auto"/>
          <w:sz w:val="32"/>
          <w:szCs w:val="32"/>
          <w:highlight w:val="none"/>
        </w:rPr>
        <w:t>不发生较大以上安全生产事故，遏制一般生产安全事故</w:t>
      </w:r>
      <w:r>
        <w:rPr>
          <w:rFonts w:hint="eastAsia" w:eastAsia="方正仿宋_GBK"/>
          <w:color w:val="auto"/>
          <w:sz w:val="32"/>
          <w:szCs w:val="32"/>
          <w:highlight w:val="none"/>
          <w:lang w:eastAsia="zh-CN"/>
        </w:rPr>
        <w:t>。</w:t>
      </w:r>
      <w:r>
        <w:rPr>
          <w:rFonts w:hint="eastAsia" w:eastAsia="方正仿宋_GBK"/>
          <w:color w:val="auto"/>
          <w:sz w:val="32"/>
          <w:szCs w:val="32"/>
          <w:highlight w:val="none"/>
        </w:rPr>
        <w:t>加强金融监管，推动金融矛盾纠纷化解，紧前谋划存量案件化解</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确保</w:t>
      </w:r>
      <w:r>
        <w:rPr>
          <w:rFonts w:hint="eastAsia" w:eastAsia="方正仿宋_GBK"/>
          <w:color w:val="auto"/>
          <w:sz w:val="32"/>
          <w:szCs w:val="32"/>
          <w:highlight w:val="none"/>
        </w:rPr>
        <w:t>不发生较大及以上债券违约非法金融事件，不发生V类及以上非法金融活动</w:t>
      </w:r>
      <w:r>
        <w:rPr>
          <w:rFonts w:hint="eastAsia" w:eastAsia="方正仿宋_GBK"/>
          <w:color w:val="auto"/>
          <w:sz w:val="32"/>
          <w:szCs w:val="32"/>
          <w:highlight w:val="none"/>
          <w:lang w:eastAsia="zh-CN"/>
        </w:rPr>
        <w:t>。</w:t>
      </w:r>
      <w:r>
        <w:rPr>
          <w:rFonts w:hint="eastAsia" w:eastAsia="方正仿宋_GBK"/>
          <w:b/>
          <w:bCs/>
          <w:color w:val="auto"/>
          <w:sz w:val="32"/>
          <w:szCs w:val="32"/>
          <w:highlight w:val="none"/>
          <w:lang w:val="en-US" w:eastAsia="zh-CN"/>
        </w:rPr>
        <w:t>提升治理水平</w:t>
      </w:r>
      <w:r>
        <w:rPr>
          <w:rFonts w:hint="eastAsia" w:eastAsia="方正仿宋_GBK"/>
          <w:b/>
          <w:bCs/>
          <w:color w:val="auto"/>
          <w:sz w:val="32"/>
          <w:szCs w:val="32"/>
          <w:highlight w:val="none"/>
        </w:rPr>
        <w:t>。</w:t>
      </w:r>
      <w:r>
        <w:rPr>
          <w:rFonts w:hint="eastAsia" w:eastAsia="方正仿宋_GBK"/>
          <w:b w:val="0"/>
          <w:bCs w:val="0"/>
          <w:color w:val="auto"/>
          <w:sz w:val="32"/>
          <w:szCs w:val="32"/>
          <w:highlight w:val="none"/>
        </w:rPr>
        <w:t>强化跨部门执法司法协同和监督</w:t>
      </w:r>
      <w:r>
        <w:rPr>
          <w:rFonts w:hint="eastAsia" w:eastAsia="方正仿宋_GBK"/>
          <w:b w:val="0"/>
          <w:bCs w:val="0"/>
          <w:color w:val="auto"/>
          <w:sz w:val="32"/>
          <w:szCs w:val="32"/>
          <w:highlight w:val="none"/>
          <w:lang w:eastAsia="zh-CN"/>
        </w:rPr>
        <w:t>，</w:t>
      </w:r>
      <w:r>
        <w:rPr>
          <w:rFonts w:hint="eastAsia" w:eastAsia="方正仿宋_GBK"/>
          <w:b w:val="0"/>
          <w:bCs w:val="0"/>
          <w:color w:val="auto"/>
          <w:sz w:val="32"/>
          <w:szCs w:val="32"/>
          <w:highlight w:val="none"/>
        </w:rPr>
        <w:t>重点抓好“十项措施”落地</w:t>
      </w:r>
      <w:r>
        <w:rPr>
          <w:rFonts w:hint="eastAsia" w:eastAsia="方正仿宋_GBK"/>
          <w:b w:val="0"/>
          <w:bCs w:val="0"/>
          <w:color w:val="auto"/>
          <w:sz w:val="32"/>
          <w:szCs w:val="32"/>
          <w:highlight w:val="none"/>
          <w:lang w:eastAsia="zh-CN"/>
        </w:rPr>
        <w:t>、</w:t>
      </w:r>
      <w:r>
        <w:rPr>
          <w:rFonts w:hint="eastAsia" w:eastAsia="方正仿宋_GBK"/>
          <w:b w:val="0"/>
          <w:bCs w:val="0"/>
          <w:color w:val="auto"/>
          <w:sz w:val="32"/>
          <w:szCs w:val="32"/>
          <w:highlight w:val="none"/>
        </w:rPr>
        <w:t>重精患者服务管理、社会面监控接入等32个“小切口”项目的细化落实</w:t>
      </w:r>
      <w:r>
        <w:rPr>
          <w:rFonts w:hint="eastAsia" w:eastAsia="方正仿宋_GBK"/>
          <w:b w:val="0"/>
          <w:bCs w:val="0"/>
          <w:color w:val="auto"/>
          <w:sz w:val="32"/>
          <w:szCs w:val="32"/>
          <w:highlight w:val="none"/>
          <w:lang w:eastAsia="zh-CN"/>
        </w:rPr>
        <w:t>，</w:t>
      </w:r>
      <w:r>
        <w:rPr>
          <w:rFonts w:hint="eastAsia" w:eastAsia="方正仿宋_GBK"/>
          <w:b w:val="0"/>
          <w:bCs w:val="0"/>
          <w:color w:val="auto"/>
          <w:sz w:val="32"/>
          <w:szCs w:val="32"/>
          <w:highlight w:val="none"/>
        </w:rPr>
        <w:t>推动防控体系和能力现代化</w:t>
      </w:r>
      <w:r>
        <w:rPr>
          <w:rFonts w:hint="eastAsia" w:eastAsia="方正仿宋_GBK"/>
          <w:b w:val="0"/>
          <w:bCs w:val="0"/>
          <w:color w:val="auto"/>
          <w:sz w:val="32"/>
          <w:szCs w:val="32"/>
          <w:highlight w:val="none"/>
          <w:lang w:eastAsia="zh-CN"/>
        </w:rPr>
        <w:t>，</w:t>
      </w:r>
      <w:r>
        <w:rPr>
          <w:rFonts w:hint="eastAsia" w:eastAsia="方正仿宋_GBK"/>
          <w:color w:val="auto"/>
          <w:sz w:val="32"/>
          <w:szCs w:val="32"/>
          <w:highlight w:val="none"/>
        </w:rPr>
        <w:t>确保群众安全感</w:t>
      </w:r>
      <w:bookmarkStart w:id="0" w:name="_GoBack"/>
      <w:r>
        <w:rPr>
          <w:rFonts w:hint="eastAsia" w:eastAsia="方正仿宋_GBK"/>
          <w:color w:val="auto"/>
          <w:sz w:val="32"/>
          <w:szCs w:val="32"/>
          <w:highlight w:val="none"/>
          <w:lang w:eastAsia="zh-CN"/>
        </w:rPr>
        <w:t>达</w:t>
      </w:r>
      <w:bookmarkEnd w:id="0"/>
      <w:r>
        <w:rPr>
          <w:rFonts w:hint="eastAsia" w:eastAsia="方正仿宋_GBK"/>
          <w:color w:val="auto"/>
          <w:sz w:val="32"/>
          <w:szCs w:val="32"/>
          <w:highlight w:val="none"/>
          <w:lang w:eastAsia="zh-CN"/>
        </w:rPr>
        <w:t>超市平均值。</w:t>
      </w:r>
      <w:r>
        <w:rPr>
          <w:rFonts w:hint="eastAsia" w:eastAsia="方正仿宋_GBK"/>
          <w:color w:val="auto"/>
          <w:sz w:val="32"/>
          <w:szCs w:val="32"/>
          <w:highlight w:val="none"/>
        </w:rPr>
        <w:t>坚持矛盾源头防治，积极稳妥推进欠薪问题治理，实现欠薪线索按期处置率100%，</w:t>
      </w:r>
      <w:r>
        <w:rPr>
          <w:rFonts w:hint="eastAsia" w:eastAsia="方正仿宋_GBK"/>
          <w:color w:val="auto"/>
          <w:sz w:val="32"/>
          <w:szCs w:val="32"/>
          <w:highlight w:val="none"/>
          <w:lang w:val="en-US" w:eastAsia="zh-CN"/>
        </w:rPr>
        <w:t>稳住</w:t>
      </w:r>
      <w:r>
        <w:rPr>
          <w:rFonts w:eastAsia="方正仿宋_GBK"/>
          <w:color w:val="auto"/>
          <w:sz w:val="32"/>
          <w:szCs w:val="32"/>
          <w:highlight w:val="none"/>
        </w:rPr>
        <w:t>欠薪发生率主城最</w:t>
      </w:r>
      <w:r>
        <w:rPr>
          <w:rFonts w:hint="eastAsia" w:eastAsia="方正仿宋_GBK"/>
          <w:color w:val="auto"/>
          <w:sz w:val="32"/>
          <w:szCs w:val="32"/>
          <w:highlight w:val="none"/>
          <w:lang w:val="en-US" w:eastAsia="zh-CN"/>
        </w:rPr>
        <w:t>优</w:t>
      </w:r>
      <w:r>
        <w:rPr>
          <w:rFonts w:hint="eastAsia" w:eastAsia="方正仿宋_GBK"/>
          <w:color w:val="auto"/>
          <w:sz w:val="32"/>
          <w:szCs w:val="32"/>
          <w:highlight w:val="none"/>
        </w:rPr>
        <w:t>位次。</w:t>
      </w:r>
      <w:r>
        <w:rPr>
          <w:rFonts w:hint="eastAsia" w:eastAsia="方正仿宋_GBK"/>
          <w:b/>
          <w:bCs/>
          <w:color w:val="auto"/>
          <w:sz w:val="32"/>
          <w:szCs w:val="40"/>
          <w:highlight w:val="none"/>
          <w:lang w:eastAsia="zh-CN"/>
        </w:rPr>
        <w:t>严守</w:t>
      </w:r>
      <w:r>
        <w:rPr>
          <w:rFonts w:hint="eastAsia" w:eastAsia="方正仿宋_GBK"/>
          <w:b/>
          <w:bCs/>
          <w:color w:val="auto"/>
          <w:sz w:val="32"/>
          <w:szCs w:val="40"/>
          <w:highlight w:val="none"/>
          <w:lang w:val="en-US" w:eastAsia="zh-CN"/>
        </w:rPr>
        <w:t>消防</w:t>
      </w:r>
      <w:r>
        <w:rPr>
          <w:rFonts w:hint="eastAsia" w:eastAsia="方正仿宋_GBK"/>
          <w:b/>
          <w:bCs/>
          <w:color w:val="auto"/>
          <w:sz w:val="32"/>
          <w:szCs w:val="40"/>
          <w:highlight w:val="none"/>
          <w:lang w:eastAsia="zh-CN"/>
        </w:rPr>
        <w:t>底线</w:t>
      </w:r>
      <w:r>
        <w:rPr>
          <w:rFonts w:hint="eastAsia" w:eastAsia="方正仿宋_GBK"/>
          <w:b/>
          <w:bCs/>
          <w:color w:val="auto"/>
          <w:sz w:val="32"/>
          <w:szCs w:val="40"/>
          <w:highlight w:val="none"/>
        </w:rPr>
        <w:t>。</w:t>
      </w:r>
      <w:r>
        <w:rPr>
          <w:rFonts w:hint="eastAsia" w:eastAsia="方正仿宋_GBK"/>
          <w:color w:val="auto"/>
          <w:sz w:val="32"/>
          <w:szCs w:val="32"/>
          <w:highlight w:val="none"/>
        </w:rPr>
        <w:t>聚焦居民生活场景风险防控，全力推进“无水高层小区”和高层住宅消防设施隐患整改，紧盯重大火灾隐患整治，完成闭环销案。深化电动自行车安全隐患全链条整治，守护居住安全。持续推进“清瓶行动</w:t>
      </w:r>
      <w:r>
        <w:rPr>
          <w:rStyle w:val="15"/>
          <w:rFonts w:eastAsia="方正仿宋_GBK"/>
          <w:color w:val="auto"/>
          <w:sz w:val="32"/>
          <w:szCs w:val="32"/>
          <w:highlight w:val="none"/>
        </w:rPr>
        <w:footnoteReference w:id="12"/>
      </w:r>
      <w:r>
        <w:rPr>
          <w:rFonts w:hint="eastAsia" w:eastAsia="方正仿宋_GBK"/>
          <w:color w:val="auto"/>
          <w:sz w:val="32"/>
          <w:szCs w:val="32"/>
          <w:highlight w:val="none"/>
        </w:rPr>
        <w:t>”，加强燃气重点用户日常巡查与安全宣传，防范居家燃气风险</w:t>
      </w:r>
      <w:r>
        <w:rPr>
          <w:rFonts w:hint="eastAsia" w:eastAsia="方正仿宋_GBK"/>
          <w:color w:val="auto"/>
          <w:sz w:val="32"/>
          <w:szCs w:val="32"/>
          <w:highlight w:val="none"/>
          <w:lang w:eastAsia="zh-CN"/>
        </w:rPr>
        <w:t>。</w:t>
      </w:r>
    </w:p>
    <w:p w14:paraId="13ECEB01">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yellow"/>
        </w:rPr>
      </w:pPr>
      <w:r>
        <w:rPr>
          <w:rFonts w:eastAsia="方正仿宋_GBK"/>
          <w:color w:val="auto"/>
          <w:sz w:val="32"/>
          <w:szCs w:val="32"/>
        </w:rPr>
        <w:t>各位代表，做好202</w:t>
      </w:r>
      <w:r>
        <w:rPr>
          <w:rFonts w:hint="eastAsia" w:eastAsia="方正仿宋_GBK"/>
          <w:color w:val="auto"/>
          <w:sz w:val="32"/>
          <w:szCs w:val="32"/>
        </w:rPr>
        <w:t>6</w:t>
      </w:r>
      <w:r>
        <w:rPr>
          <w:rFonts w:eastAsia="方正仿宋_GBK"/>
          <w:color w:val="auto"/>
          <w:sz w:val="32"/>
          <w:szCs w:val="32"/>
        </w:rPr>
        <w:t>年经济社会发展工作任务繁重、责任重大。我们将在区委坚强领导下，自觉接受人大监督，认真听取政协意见，</w:t>
      </w:r>
      <w:r>
        <w:rPr>
          <w:rFonts w:hint="eastAsia" w:eastAsia="方正仿宋_GBK"/>
          <w:color w:val="auto"/>
          <w:sz w:val="32"/>
          <w:szCs w:val="32"/>
        </w:rPr>
        <w:t>凝心聚力、实干笃行，全力实现全年各项目标任务，以过硬实绩为鼓楼中国式现代化建设书写新答卷！</w:t>
      </w:r>
    </w:p>
    <w:p w14:paraId="03005099">
      <w:pPr>
        <w:pStyle w:val="10"/>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eastAsia="方正仿宋_GBK"/>
          <w:color w:val="auto"/>
          <w:sz w:val="32"/>
          <w:szCs w:val="32"/>
        </w:rPr>
      </w:pPr>
    </w:p>
    <w:p w14:paraId="354AD1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p>
    <w:sectPr>
      <w:footerReference r:id="rId4" w:type="default"/>
      <w:footnotePr>
        <w:numFmt w:val="decimal"/>
      </w:footnotePr>
      <w:pgSz w:w="11906" w:h="16838"/>
      <w:pgMar w:top="2098" w:right="1474" w:bottom="1985" w:left="1588"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067"/>
    </w:sdtPr>
    <w:sdtEndPr>
      <w:rPr>
        <w:rFonts w:ascii="宋体" w:hAnsi="宋体"/>
        <w:sz w:val="28"/>
        <w:szCs w:val="28"/>
      </w:rPr>
    </w:sdtEndPr>
    <w:sdtContent>
      <w:p w14:paraId="1FFFC5E4">
        <w:pPr>
          <w:pStyle w:val="6"/>
          <w:jc w:val="center"/>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31EB572A">
      <w:pPr>
        <w:pStyle w:val="8"/>
        <w:rPr>
          <w:rFonts w:eastAsia="方正仿宋_GBK"/>
        </w:rPr>
      </w:pPr>
      <w:r>
        <w:rPr>
          <w:rStyle w:val="15"/>
          <w:rFonts w:eastAsia="方正仿宋_GBK"/>
        </w:rPr>
        <w:footnoteRef/>
      </w:r>
      <w:r>
        <w:rPr>
          <w:rFonts w:eastAsia="方正仿宋_GBK"/>
        </w:rPr>
        <w:t>目标完成率=实际完成的目标数/所有目标总数</w:t>
      </w:r>
      <w:r>
        <w:rPr>
          <w:rFonts w:hint="eastAsia" w:eastAsia="方正仿宋_GBK"/>
          <w:lang w:val="en-US" w:eastAsia="zh-CN"/>
        </w:rPr>
        <w:t>×</w:t>
      </w:r>
      <w:r>
        <w:rPr>
          <w:rFonts w:eastAsia="方正仿宋_GBK"/>
        </w:rPr>
        <w:t>100%，其中单项目标有多个子项，按比例折算</w:t>
      </w:r>
      <w:r>
        <w:rPr>
          <w:rFonts w:hint="eastAsia" w:eastAsia="方正仿宋_GBK"/>
        </w:rPr>
        <w:t>。</w:t>
      </w:r>
    </w:p>
  </w:footnote>
  <w:footnote w:id="1">
    <w:p w14:paraId="66186677">
      <w:pPr>
        <w:pStyle w:val="8"/>
        <w:keepNext w:val="0"/>
        <w:keepLines w:val="0"/>
        <w:pageBreakBefore w:val="0"/>
        <w:widowControl w:val="0"/>
        <w:kinsoku/>
        <w:wordWrap/>
        <w:overflowPunct/>
        <w:topLinePunct w:val="0"/>
        <w:bidi w:val="0"/>
        <w:adjustRightInd/>
        <w:snapToGrid w:val="0"/>
        <w:textAlignment w:val="auto"/>
        <w:rPr>
          <w:rFonts w:eastAsia="方正仿宋_GBK"/>
        </w:rPr>
      </w:pPr>
      <w:r>
        <w:rPr>
          <w:rStyle w:val="15"/>
          <w:rFonts w:eastAsia="方正仿宋_GBK"/>
        </w:rPr>
        <w:footnoteRef/>
      </w:r>
      <w:r>
        <w:rPr>
          <w:rFonts w:hint="eastAsia" w:eastAsia="方正仿宋_GBK"/>
        </w:rPr>
        <w:t>“1”指《鼓楼区关于加快培育新质生产力 推动产业高质量发展的指导意见》，“N”指聚焦各项产业出台的政策，如《鼓楼区打造“算法名区”发展人工智能产业支持政策（试行）》等。</w:t>
      </w:r>
    </w:p>
  </w:footnote>
  <w:footnote w:id="2">
    <w:p w14:paraId="5B83C8C0">
      <w:pPr>
        <w:pStyle w:val="8"/>
        <w:snapToGrid w:val="0"/>
      </w:pPr>
      <w:r>
        <w:rPr>
          <w:rStyle w:val="15"/>
        </w:rPr>
        <w:footnoteRef/>
      </w:r>
      <w:r>
        <w:t xml:space="preserve"> </w:t>
      </w:r>
      <w:r>
        <w:rPr>
          <w:rFonts w:hint="eastAsia" w:eastAsia="方正仿宋_GBK"/>
          <w:sz w:val="18"/>
          <w:szCs w:val="18"/>
          <w:vertAlign w:val="baseline"/>
          <w:lang w:val="en-US" w:eastAsia="zh-CN"/>
        </w:rPr>
        <w:t>指《鼓楼区青年大学生“留宁”十条政策措施》。</w:t>
      </w:r>
    </w:p>
  </w:footnote>
  <w:footnote w:id="3">
    <w:p w14:paraId="3B34B10B">
      <w:pPr>
        <w:pStyle w:val="8"/>
        <w:rPr>
          <w:rFonts w:eastAsia="方正仿宋_GBK"/>
        </w:rPr>
      </w:pPr>
      <w:r>
        <w:rPr>
          <w:rStyle w:val="15"/>
          <w:rFonts w:eastAsia="方正仿宋_GBK"/>
        </w:rPr>
        <w:footnoteRef/>
      </w:r>
      <w:r>
        <w:rPr>
          <w:rFonts w:hint="eastAsia" w:eastAsia="方正仿宋_GBK"/>
          <w:lang w:val="en-US" w:eastAsia="zh-CN"/>
        </w:rPr>
        <w:t xml:space="preserve"> </w:t>
      </w:r>
      <w:r>
        <w:rPr>
          <w:rFonts w:hint="eastAsia" w:eastAsia="方正仿宋_GBK"/>
        </w:rPr>
        <w:t>指我区推出的银发经济服务品牌，通过构建“健康守护、生活服务、银龄活力、智慧养老、多方共筑”五大特色服务，着力打造“覆盖全人群、贯穿全场景、联动全社会”的养老服务生态。</w:t>
      </w:r>
    </w:p>
  </w:footnote>
  <w:footnote w:id="4">
    <w:p w14:paraId="5885837A">
      <w:pPr>
        <w:pStyle w:val="8"/>
        <w:rPr>
          <w:rFonts w:eastAsia="方正仿宋_GBK"/>
        </w:rPr>
      </w:pPr>
      <w:r>
        <w:rPr>
          <w:rStyle w:val="15"/>
          <w:rFonts w:eastAsia="方正仿宋_GBK"/>
        </w:rPr>
        <w:footnoteRef/>
      </w:r>
      <w:r>
        <w:rPr>
          <w:rFonts w:hint="eastAsia" w:eastAsia="方正仿宋_GBK"/>
          <w:lang w:val="en-US" w:eastAsia="zh-CN"/>
        </w:rPr>
        <w:t xml:space="preserve"> </w:t>
      </w:r>
      <w:r>
        <w:rPr>
          <w:rFonts w:hint="eastAsia" w:eastAsia="方正仿宋_GBK"/>
        </w:rPr>
        <w:t>指通过改善和提高精神障碍患者生活自理能力、社会适应与参与能力和就业能力，提高患者健康水平，促进患者回归和融入社会的专业社会服务。</w:t>
      </w:r>
    </w:p>
  </w:footnote>
  <w:footnote w:id="5">
    <w:p w14:paraId="07D6B924">
      <w:pPr>
        <w:pStyle w:val="8"/>
        <w:rPr>
          <w:rFonts w:eastAsia="方正仿宋_GBK"/>
        </w:rPr>
      </w:pPr>
      <w:r>
        <w:rPr>
          <w:rStyle w:val="15"/>
          <w:rFonts w:eastAsia="方正仿宋_GBK"/>
        </w:rPr>
        <w:footnoteRef/>
      </w:r>
      <w:r>
        <w:rPr>
          <w:rFonts w:hint="eastAsia" w:eastAsia="方正仿宋_GBK"/>
          <w:lang w:val="en-US" w:eastAsia="zh-CN"/>
        </w:rPr>
        <w:t xml:space="preserve"> </w:t>
      </w:r>
      <w:r>
        <w:rPr>
          <w:rFonts w:hint="eastAsia" w:eastAsia="方正仿宋_GBK"/>
        </w:rPr>
        <w:t>指消费者凭借交通出行、文旅活动、体育赛事等场景的票务凭证，在后续消费场景中获得折扣等权益，刺激更多消费行为、促进产业融合的经济模式。</w:t>
      </w:r>
    </w:p>
  </w:footnote>
  <w:footnote w:id="6">
    <w:p w14:paraId="3F56C18A">
      <w:pPr>
        <w:pStyle w:val="8"/>
        <w:rPr>
          <w:rFonts w:eastAsia="方正仿宋_GBK"/>
        </w:rPr>
      </w:pPr>
      <w:r>
        <w:rPr>
          <w:rStyle w:val="15"/>
          <w:rFonts w:eastAsia="方正仿宋_GBK"/>
        </w:rPr>
        <w:footnoteRef/>
      </w:r>
      <w:r>
        <w:rPr>
          <w:rFonts w:hint="eastAsia" w:eastAsia="方正仿宋_GBK"/>
          <w:lang w:val="en-US" w:eastAsia="zh-CN"/>
        </w:rPr>
        <w:t xml:space="preserve"> </w:t>
      </w:r>
      <w:r>
        <w:rPr>
          <w:rFonts w:hint="eastAsia" w:eastAsia="方正仿宋_GBK"/>
        </w:rPr>
        <w:t>指在人工智能产业政策中创新推出的政策工具与数字化权益凭证，特指面向辖区内人工智能企业发放的、用于抵扣算力、模型、数据等服务费用的专项补贴凭证。</w:t>
      </w:r>
    </w:p>
  </w:footnote>
  <w:footnote w:id="7">
    <w:p w14:paraId="77B20808">
      <w:pPr>
        <w:pStyle w:val="8"/>
        <w:snapToGrid w:val="0"/>
      </w:pPr>
      <w:r>
        <w:rPr>
          <w:rStyle w:val="15"/>
        </w:rPr>
        <w:footnoteRef/>
      </w:r>
      <w:r>
        <w:t xml:space="preserve"> </w:t>
      </w:r>
      <w:r>
        <w:rPr>
          <w:rFonts w:hint="eastAsia" w:ascii="Times New Roman" w:hAnsi="Times New Roman" w:eastAsia="方正仿宋_GBK" w:cs="Times New Roman"/>
          <w:lang w:val="en-US" w:eastAsia="zh-CN"/>
        </w:rPr>
        <w:t>即One Person Company，指的是一个人就可以组建一个创业队伍、创新团队，独立完成从创意萌芽到项目落地的全过程</w:t>
      </w:r>
    </w:p>
  </w:footnote>
  <w:footnote w:id="8">
    <w:p w14:paraId="4ED526DB">
      <w:pPr>
        <w:pStyle w:val="8"/>
        <w:rPr>
          <w:rFonts w:eastAsia="方正仿宋_GBK"/>
        </w:rPr>
      </w:pPr>
      <w:r>
        <w:rPr>
          <w:rStyle w:val="15"/>
          <w:rFonts w:eastAsia="方正仿宋_GBK"/>
        </w:rPr>
        <w:footnoteRef/>
      </w:r>
      <w:r>
        <w:rPr>
          <w:rFonts w:hint="eastAsia" w:eastAsia="方正仿宋_GBK"/>
          <w:lang w:val="en-US" w:eastAsia="zh-CN"/>
        </w:rPr>
        <w:t xml:space="preserve"> </w:t>
      </w:r>
      <w:r>
        <w:rPr>
          <w:rFonts w:hint="eastAsia" w:eastAsia="方正仿宋_GBK"/>
        </w:rPr>
        <w:t>谈的是鼓楼，论的是金融。搭建政、金、企对接平台，帮助企业解决政策不达、信息不通、渠道不宽等问题。</w:t>
      </w:r>
    </w:p>
  </w:footnote>
  <w:footnote w:id="9">
    <w:p w14:paraId="01AA3CC1">
      <w:pPr>
        <w:pStyle w:val="8"/>
        <w:rPr>
          <w:rFonts w:hint="eastAsia" w:eastAsia="方正仿宋_GBK"/>
          <w:lang w:eastAsia="zh-CN"/>
        </w:rPr>
      </w:pPr>
      <w:r>
        <w:rPr>
          <w:rStyle w:val="15"/>
          <w:rFonts w:eastAsia="方正仿宋_GBK"/>
        </w:rPr>
        <w:footnoteRef/>
      </w:r>
      <w:r>
        <w:rPr>
          <w:rFonts w:hint="eastAsia" w:eastAsia="方正仿宋_GBK"/>
          <w:lang w:val="en-US" w:eastAsia="zh-CN"/>
        </w:rPr>
        <w:t xml:space="preserve"> “巷”指鼓楼硅巷。“巷”心力系列活动融合科技、人才、创新为动能，为鼓楼区硅巷建设“效能提升”的“质变”跨越注入不竭活力。</w:t>
      </w:r>
    </w:p>
  </w:footnote>
  <w:footnote w:id="10">
    <w:p w14:paraId="5579C4EF">
      <w:pPr>
        <w:pStyle w:val="8"/>
        <w:rPr>
          <w:rFonts w:hint="eastAsia" w:eastAsia="方正仿宋_GBK"/>
          <w:lang w:eastAsia="zh-CN"/>
        </w:rPr>
      </w:pPr>
      <w:r>
        <w:rPr>
          <w:rStyle w:val="15"/>
          <w:rFonts w:eastAsia="方正仿宋_GBK"/>
        </w:rPr>
        <w:footnoteRef/>
      </w:r>
      <w:r>
        <w:rPr>
          <w:rFonts w:hint="eastAsia" w:eastAsia="方正仿宋_GBK"/>
          <w:lang w:val="en-US" w:eastAsia="zh-CN"/>
        </w:rPr>
        <w:t xml:space="preserve"> “科享链”成果转化服务小队，深入辖区高校、科研院所、企业，用科技创新、科技成果、科技服务串联产学研各个环节，实现产业链与创新链双向赋能。</w:t>
      </w:r>
    </w:p>
  </w:footnote>
  <w:footnote w:id="11">
    <w:p w14:paraId="2EEB86B4">
      <w:pPr>
        <w:pStyle w:val="8"/>
        <w:rPr>
          <w:rFonts w:hint="eastAsia" w:eastAsia="方正仿宋_GBK"/>
          <w:lang w:eastAsia="zh-CN"/>
        </w:rPr>
      </w:pPr>
      <w:r>
        <w:rPr>
          <w:rStyle w:val="15"/>
          <w:rFonts w:eastAsia="方正仿宋_GBK"/>
        </w:rPr>
        <w:footnoteRef/>
      </w:r>
      <w:r>
        <w:rPr>
          <w:rFonts w:hint="eastAsia" w:eastAsia="方正仿宋_GBK"/>
          <w:lang w:val="en-US" w:eastAsia="zh-CN"/>
        </w:rPr>
        <w:t xml:space="preserve"> “2”指5亿元政府引导母基金和10亿元国企母基金，“N”指与各类社会方合作设立N只子基金，最终形成我区100亿元的产业基金集群和10亿元的成果转化基金集群。</w:t>
      </w:r>
    </w:p>
  </w:footnote>
  <w:footnote w:id="12">
    <w:p w14:paraId="396E8773">
      <w:pPr>
        <w:pStyle w:val="8"/>
        <w:rPr>
          <w:rFonts w:hint="eastAsia" w:eastAsia="方正仿宋_GBK"/>
          <w:lang w:eastAsia="zh-CN"/>
        </w:rPr>
      </w:pPr>
      <w:r>
        <w:rPr>
          <w:rStyle w:val="15"/>
          <w:rFonts w:eastAsia="方正仿宋_GBK"/>
        </w:rPr>
        <w:footnoteRef/>
      </w:r>
      <w:r>
        <w:rPr>
          <w:rFonts w:hint="eastAsia" w:eastAsia="方正仿宋_GBK"/>
          <w:lang w:val="en-US" w:eastAsia="zh-CN"/>
        </w:rPr>
        <w:t xml:space="preserve"> 对所有符合燃气相关规范标准的居民用户，以及非居民用户均需实施管道天然气改造。对不符合管道天然气改造条件的，改用电或改业态。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C0687"/>
    <w:multiLevelType w:val="singleLevel"/>
    <w:tmpl w:val="FE6C06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6"/>
    <w:footnote w:id="2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E340AC6"/>
    <w:rsid w:val="000527D2"/>
    <w:rsid w:val="00070890"/>
    <w:rsid w:val="000777C2"/>
    <w:rsid w:val="001419C9"/>
    <w:rsid w:val="00194CE1"/>
    <w:rsid w:val="001C2469"/>
    <w:rsid w:val="001D3A9E"/>
    <w:rsid w:val="001F5FB4"/>
    <w:rsid w:val="00241EA9"/>
    <w:rsid w:val="00243A24"/>
    <w:rsid w:val="002D6E61"/>
    <w:rsid w:val="002E40FC"/>
    <w:rsid w:val="002F1D31"/>
    <w:rsid w:val="00366EB0"/>
    <w:rsid w:val="00373355"/>
    <w:rsid w:val="003813C2"/>
    <w:rsid w:val="00387E2A"/>
    <w:rsid w:val="003B49A7"/>
    <w:rsid w:val="00460DF8"/>
    <w:rsid w:val="004B3A71"/>
    <w:rsid w:val="00670A95"/>
    <w:rsid w:val="006F6C5F"/>
    <w:rsid w:val="007450AE"/>
    <w:rsid w:val="00843DC2"/>
    <w:rsid w:val="008B6532"/>
    <w:rsid w:val="008E4728"/>
    <w:rsid w:val="009B26C5"/>
    <w:rsid w:val="009C31DD"/>
    <w:rsid w:val="009E5AAE"/>
    <w:rsid w:val="00A20C95"/>
    <w:rsid w:val="00B00BD6"/>
    <w:rsid w:val="00B33D6C"/>
    <w:rsid w:val="00CD1DBF"/>
    <w:rsid w:val="00D90E63"/>
    <w:rsid w:val="00DC420E"/>
    <w:rsid w:val="00E44D29"/>
    <w:rsid w:val="00E45375"/>
    <w:rsid w:val="00E82FBB"/>
    <w:rsid w:val="00EA79B5"/>
    <w:rsid w:val="00EC06E2"/>
    <w:rsid w:val="011949CD"/>
    <w:rsid w:val="01253372"/>
    <w:rsid w:val="016C3471"/>
    <w:rsid w:val="017E6F26"/>
    <w:rsid w:val="01D857E9"/>
    <w:rsid w:val="023449E9"/>
    <w:rsid w:val="025B44B8"/>
    <w:rsid w:val="0278045B"/>
    <w:rsid w:val="0295DD85"/>
    <w:rsid w:val="02B059C1"/>
    <w:rsid w:val="02E10FB1"/>
    <w:rsid w:val="034C108A"/>
    <w:rsid w:val="03EC63C9"/>
    <w:rsid w:val="040A2CF3"/>
    <w:rsid w:val="042943D1"/>
    <w:rsid w:val="046A643B"/>
    <w:rsid w:val="04714B20"/>
    <w:rsid w:val="048605CC"/>
    <w:rsid w:val="04E1283E"/>
    <w:rsid w:val="05461B09"/>
    <w:rsid w:val="05972365"/>
    <w:rsid w:val="05CB3F7D"/>
    <w:rsid w:val="06162976"/>
    <w:rsid w:val="06CB62D3"/>
    <w:rsid w:val="06EE2458"/>
    <w:rsid w:val="075449B1"/>
    <w:rsid w:val="07676428"/>
    <w:rsid w:val="07A814AB"/>
    <w:rsid w:val="07CF4850"/>
    <w:rsid w:val="07E8334B"/>
    <w:rsid w:val="07EE64D8"/>
    <w:rsid w:val="07FE7DD2"/>
    <w:rsid w:val="081B704C"/>
    <w:rsid w:val="098552F6"/>
    <w:rsid w:val="09EA7336"/>
    <w:rsid w:val="0A1F48D4"/>
    <w:rsid w:val="0A5142B8"/>
    <w:rsid w:val="0AE41BA8"/>
    <w:rsid w:val="0B4D1E43"/>
    <w:rsid w:val="0B9E4527"/>
    <w:rsid w:val="0BA47589"/>
    <w:rsid w:val="0BD47E6F"/>
    <w:rsid w:val="0BE94B14"/>
    <w:rsid w:val="0BF202F5"/>
    <w:rsid w:val="0C743400"/>
    <w:rsid w:val="0D2D406A"/>
    <w:rsid w:val="0D74584C"/>
    <w:rsid w:val="0D976A24"/>
    <w:rsid w:val="0DC61A39"/>
    <w:rsid w:val="0E0D58BA"/>
    <w:rsid w:val="0E3A41D5"/>
    <w:rsid w:val="0E544711"/>
    <w:rsid w:val="0EBBB94E"/>
    <w:rsid w:val="0EE228A3"/>
    <w:rsid w:val="0EED1247"/>
    <w:rsid w:val="0F2F416C"/>
    <w:rsid w:val="0F957915"/>
    <w:rsid w:val="0FC579D6"/>
    <w:rsid w:val="102B0997"/>
    <w:rsid w:val="10376C1E"/>
    <w:rsid w:val="11396D9A"/>
    <w:rsid w:val="121E73B7"/>
    <w:rsid w:val="12CA5B28"/>
    <w:rsid w:val="130A061A"/>
    <w:rsid w:val="13304ED4"/>
    <w:rsid w:val="13496586"/>
    <w:rsid w:val="13B34392"/>
    <w:rsid w:val="13C95DDF"/>
    <w:rsid w:val="13E8460D"/>
    <w:rsid w:val="143C61AE"/>
    <w:rsid w:val="143E49E6"/>
    <w:rsid w:val="14801A85"/>
    <w:rsid w:val="14D557D7"/>
    <w:rsid w:val="14EA0703"/>
    <w:rsid w:val="15046170"/>
    <w:rsid w:val="155600EA"/>
    <w:rsid w:val="1621575C"/>
    <w:rsid w:val="168F3EF2"/>
    <w:rsid w:val="16A94649"/>
    <w:rsid w:val="16AE750E"/>
    <w:rsid w:val="171750B3"/>
    <w:rsid w:val="178C3CF3"/>
    <w:rsid w:val="18BFA9AA"/>
    <w:rsid w:val="190046E2"/>
    <w:rsid w:val="191044B0"/>
    <w:rsid w:val="197016C4"/>
    <w:rsid w:val="19B63581"/>
    <w:rsid w:val="19C37774"/>
    <w:rsid w:val="19E219A9"/>
    <w:rsid w:val="1AC9700C"/>
    <w:rsid w:val="1B416081"/>
    <w:rsid w:val="1BF956CF"/>
    <w:rsid w:val="1BFF73AF"/>
    <w:rsid w:val="1C1A137B"/>
    <w:rsid w:val="1CCB0E1A"/>
    <w:rsid w:val="1CE76C97"/>
    <w:rsid w:val="1CEA28A9"/>
    <w:rsid w:val="1CF06E1F"/>
    <w:rsid w:val="1CF163A7"/>
    <w:rsid w:val="1D4A5137"/>
    <w:rsid w:val="1D4E37F9"/>
    <w:rsid w:val="1D613643"/>
    <w:rsid w:val="1D734739"/>
    <w:rsid w:val="1D7A0102"/>
    <w:rsid w:val="1DAC581B"/>
    <w:rsid w:val="1DBF6C06"/>
    <w:rsid w:val="1DDDC832"/>
    <w:rsid w:val="1E043956"/>
    <w:rsid w:val="1E285DF8"/>
    <w:rsid w:val="1E396257"/>
    <w:rsid w:val="1E7534ED"/>
    <w:rsid w:val="1E9E4C87"/>
    <w:rsid w:val="1EDF11E7"/>
    <w:rsid w:val="1F1F569A"/>
    <w:rsid w:val="1F34E361"/>
    <w:rsid w:val="1F600436"/>
    <w:rsid w:val="1FCFB01E"/>
    <w:rsid w:val="1FDEBDD4"/>
    <w:rsid w:val="1FF77938"/>
    <w:rsid w:val="207638CF"/>
    <w:rsid w:val="20835AA4"/>
    <w:rsid w:val="20C06ADB"/>
    <w:rsid w:val="21422ACD"/>
    <w:rsid w:val="21767EC8"/>
    <w:rsid w:val="21B46321"/>
    <w:rsid w:val="22156111"/>
    <w:rsid w:val="22BA231A"/>
    <w:rsid w:val="22C73E32"/>
    <w:rsid w:val="234A05BF"/>
    <w:rsid w:val="236478D2"/>
    <w:rsid w:val="236824AD"/>
    <w:rsid w:val="23E90675"/>
    <w:rsid w:val="248F22B5"/>
    <w:rsid w:val="249123A4"/>
    <w:rsid w:val="24997A50"/>
    <w:rsid w:val="24CC3981"/>
    <w:rsid w:val="24F81F55"/>
    <w:rsid w:val="257A518B"/>
    <w:rsid w:val="257C4B42"/>
    <w:rsid w:val="257D1A32"/>
    <w:rsid w:val="25BB76A7"/>
    <w:rsid w:val="261B1A43"/>
    <w:rsid w:val="26A87109"/>
    <w:rsid w:val="26DB3F27"/>
    <w:rsid w:val="26ED17EF"/>
    <w:rsid w:val="26F47B33"/>
    <w:rsid w:val="27086C21"/>
    <w:rsid w:val="276E51C4"/>
    <w:rsid w:val="27BA12C9"/>
    <w:rsid w:val="27F3A8B0"/>
    <w:rsid w:val="27FB6F0D"/>
    <w:rsid w:val="27FDF0FD"/>
    <w:rsid w:val="27FE3B41"/>
    <w:rsid w:val="280C5EDE"/>
    <w:rsid w:val="280E605F"/>
    <w:rsid w:val="28180C8B"/>
    <w:rsid w:val="283C411F"/>
    <w:rsid w:val="286C7D49"/>
    <w:rsid w:val="290F02E0"/>
    <w:rsid w:val="2961184F"/>
    <w:rsid w:val="299D6326"/>
    <w:rsid w:val="2A5F13DD"/>
    <w:rsid w:val="2A8C41C4"/>
    <w:rsid w:val="2ABB39C7"/>
    <w:rsid w:val="2AEF03C9"/>
    <w:rsid w:val="2B711653"/>
    <w:rsid w:val="2BDC7D52"/>
    <w:rsid w:val="2BF94AEA"/>
    <w:rsid w:val="2D1B6729"/>
    <w:rsid w:val="2D5D5D98"/>
    <w:rsid w:val="2D7C3A6A"/>
    <w:rsid w:val="2D8E56D1"/>
    <w:rsid w:val="2DAF7589"/>
    <w:rsid w:val="2DD3530F"/>
    <w:rsid w:val="2DEC5F12"/>
    <w:rsid w:val="2E8D23D3"/>
    <w:rsid w:val="2E90057B"/>
    <w:rsid w:val="2E954DE4"/>
    <w:rsid w:val="2EEE3E8D"/>
    <w:rsid w:val="2EFF5A74"/>
    <w:rsid w:val="2F4A1B88"/>
    <w:rsid w:val="2FAE56D7"/>
    <w:rsid w:val="2FF76259"/>
    <w:rsid w:val="2FFA4E7E"/>
    <w:rsid w:val="2FFFF4DE"/>
    <w:rsid w:val="301A2C89"/>
    <w:rsid w:val="308303AC"/>
    <w:rsid w:val="30D7640F"/>
    <w:rsid w:val="310B4DAD"/>
    <w:rsid w:val="31582A2B"/>
    <w:rsid w:val="327F5A6E"/>
    <w:rsid w:val="32920AE9"/>
    <w:rsid w:val="32C75788"/>
    <w:rsid w:val="32FB3683"/>
    <w:rsid w:val="33241981"/>
    <w:rsid w:val="33760C5B"/>
    <w:rsid w:val="337C5C88"/>
    <w:rsid w:val="33FE342B"/>
    <w:rsid w:val="34051D0A"/>
    <w:rsid w:val="34372683"/>
    <w:rsid w:val="3437693D"/>
    <w:rsid w:val="345B6AD0"/>
    <w:rsid w:val="34761214"/>
    <w:rsid w:val="34E864B9"/>
    <w:rsid w:val="34F66AE4"/>
    <w:rsid w:val="352279A4"/>
    <w:rsid w:val="357A422A"/>
    <w:rsid w:val="35856F24"/>
    <w:rsid w:val="3699568D"/>
    <w:rsid w:val="36BF70A2"/>
    <w:rsid w:val="36D55B4D"/>
    <w:rsid w:val="36E30A0D"/>
    <w:rsid w:val="37171FD3"/>
    <w:rsid w:val="378325C5"/>
    <w:rsid w:val="37BF71C9"/>
    <w:rsid w:val="37FD5BC8"/>
    <w:rsid w:val="390451D1"/>
    <w:rsid w:val="39D6CAA1"/>
    <w:rsid w:val="3A2C02C2"/>
    <w:rsid w:val="3A6D130B"/>
    <w:rsid w:val="3ADF3EAE"/>
    <w:rsid w:val="3AE7333C"/>
    <w:rsid w:val="3B3FB07B"/>
    <w:rsid w:val="3B5B247A"/>
    <w:rsid w:val="3B8652FF"/>
    <w:rsid w:val="3B8C57C0"/>
    <w:rsid w:val="3BCE7B87"/>
    <w:rsid w:val="3BD3151A"/>
    <w:rsid w:val="3BDA2F69"/>
    <w:rsid w:val="3BFFFA46"/>
    <w:rsid w:val="3C1B9A26"/>
    <w:rsid w:val="3CFF5560"/>
    <w:rsid w:val="3D132526"/>
    <w:rsid w:val="3D76DEB3"/>
    <w:rsid w:val="3D772C11"/>
    <w:rsid w:val="3D7FD37E"/>
    <w:rsid w:val="3D8726E3"/>
    <w:rsid w:val="3DAF31D3"/>
    <w:rsid w:val="3DDC2A2F"/>
    <w:rsid w:val="3DE50F03"/>
    <w:rsid w:val="3E083824"/>
    <w:rsid w:val="3EC7FD14"/>
    <w:rsid w:val="3EDA6843"/>
    <w:rsid w:val="3EF27151"/>
    <w:rsid w:val="3F0A42C5"/>
    <w:rsid w:val="3F5F7851"/>
    <w:rsid w:val="3F7B8040"/>
    <w:rsid w:val="3F9F8609"/>
    <w:rsid w:val="3FD7A00F"/>
    <w:rsid w:val="3FE77672"/>
    <w:rsid w:val="3FEE1A38"/>
    <w:rsid w:val="3FEFF9E8"/>
    <w:rsid w:val="3FF67FAB"/>
    <w:rsid w:val="3FFB794A"/>
    <w:rsid w:val="3FFF5C23"/>
    <w:rsid w:val="4038390D"/>
    <w:rsid w:val="4041376F"/>
    <w:rsid w:val="40E26B19"/>
    <w:rsid w:val="410F4ECA"/>
    <w:rsid w:val="41445DBB"/>
    <w:rsid w:val="415A660A"/>
    <w:rsid w:val="41B25855"/>
    <w:rsid w:val="41C932CA"/>
    <w:rsid w:val="41FA466C"/>
    <w:rsid w:val="4286740D"/>
    <w:rsid w:val="42EF4FB3"/>
    <w:rsid w:val="438F0001"/>
    <w:rsid w:val="440C749E"/>
    <w:rsid w:val="44CB55AC"/>
    <w:rsid w:val="44EB0D86"/>
    <w:rsid w:val="45192BB0"/>
    <w:rsid w:val="453942C3"/>
    <w:rsid w:val="455E3F33"/>
    <w:rsid w:val="457059EE"/>
    <w:rsid w:val="459C0CF6"/>
    <w:rsid w:val="45F85F7F"/>
    <w:rsid w:val="462A6302"/>
    <w:rsid w:val="464D028B"/>
    <w:rsid w:val="467161B1"/>
    <w:rsid w:val="46BD2407"/>
    <w:rsid w:val="476870E2"/>
    <w:rsid w:val="477379C1"/>
    <w:rsid w:val="47B95EE6"/>
    <w:rsid w:val="47D261CA"/>
    <w:rsid w:val="49861AA1"/>
    <w:rsid w:val="49AD6362"/>
    <w:rsid w:val="4A1D1F80"/>
    <w:rsid w:val="4AD14F9E"/>
    <w:rsid w:val="4B447E66"/>
    <w:rsid w:val="4B656903"/>
    <w:rsid w:val="4B906C07"/>
    <w:rsid w:val="4BA70900"/>
    <w:rsid w:val="4BDFB9F5"/>
    <w:rsid w:val="4C123ED3"/>
    <w:rsid w:val="4C2C2DD4"/>
    <w:rsid w:val="4CB77D0C"/>
    <w:rsid w:val="4CB8332F"/>
    <w:rsid w:val="4D145493"/>
    <w:rsid w:val="4D2B6375"/>
    <w:rsid w:val="4D6046FD"/>
    <w:rsid w:val="4D97278D"/>
    <w:rsid w:val="4DE4749B"/>
    <w:rsid w:val="4DE62B27"/>
    <w:rsid w:val="4DFBD380"/>
    <w:rsid w:val="4E6DCD8C"/>
    <w:rsid w:val="4E8332BB"/>
    <w:rsid w:val="4E8D5D8D"/>
    <w:rsid w:val="4EA6687A"/>
    <w:rsid w:val="4EA7AFDE"/>
    <w:rsid w:val="4EA8070C"/>
    <w:rsid w:val="4ED33CEA"/>
    <w:rsid w:val="4EFFA499"/>
    <w:rsid w:val="4F473A81"/>
    <w:rsid w:val="4FB27E6A"/>
    <w:rsid w:val="4FDFD7DB"/>
    <w:rsid w:val="4FF37764"/>
    <w:rsid w:val="4FF79BBB"/>
    <w:rsid w:val="4FFF54C2"/>
    <w:rsid w:val="4FFFEC03"/>
    <w:rsid w:val="50096843"/>
    <w:rsid w:val="50305CF5"/>
    <w:rsid w:val="505E72D4"/>
    <w:rsid w:val="506F06B6"/>
    <w:rsid w:val="50EE0905"/>
    <w:rsid w:val="510559A1"/>
    <w:rsid w:val="511F5364"/>
    <w:rsid w:val="51264E74"/>
    <w:rsid w:val="51324469"/>
    <w:rsid w:val="51544ED5"/>
    <w:rsid w:val="516E3547"/>
    <w:rsid w:val="51E7E91E"/>
    <w:rsid w:val="51F93F1B"/>
    <w:rsid w:val="52171E30"/>
    <w:rsid w:val="523A18EA"/>
    <w:rsid w:val="529BEB36"/>
    <w:rsid w:val="52DE64AA"/>
    <w:rsid w:val="5349426B"/>
    <w:rsid w:val="53728FA9"/>
    <w:rsid w:val="538E5F21"/>
    <w:rsid w:val="53D67C9F"/>
    <w:rsid w:val="53E06BD3"/>
    <w:rsid w:val="53FA3133"/>
    <w:rsid w:val="54420CBA"/>
    <w:rsid w:val="5442626B"/>
    <w:rsid w:val="54A92AE8"/>
    <w:rsid w:val="553625CD"/>
    <w:rsid w:val="554F18E1"/>
    <w:rsid w:val="55654C60"/>
    <w:rsid w:val="55A772F7"/>
    <w:rsid w:val="55FF798B"/>
    <w:rsid w:val="561FECD8"/>
    <w:rsid w:val="567FB184"/>
    <w:rsid w:val="568073E5"/>
    <w:rsid w:val="56A774E2"/>
    <w:rsid w:val="56A874FB"/>
    <w:rsid w:val="56D577AB"/>
    <w:rsid w:val="56ED59BF"/>
    <w:rsid w:val="571F288C"/>
    <w:rsid w:val="573F5174"/>
    <w:rsid w:val="575925A3"/>
    <w:rsid w:val="57BEBC73"/>
    <w:rsid w:val="57C926DA"/>
    <w:rsid w:val="57C9D86D"/>
    <w:rsid w:val="57D62EBD"/>
    <w:rsid w:val="57D73F21"/>
    <w:rsid w:val="57E26A3C"/>
    <w:rsid w:val="57F6BC8A"/>
    <w:rsid w:val="57FD0825"/>
    <w:rsid w:val="57FF0FE0"/>
    <w:rsid w:val="58096F4A"/>
    <w:rsid w:val="58207565"/>
    <w:rsid w:val="59AF0BA0"/>
    <w:rsid w:val="59C440A7"/>
    <w:rsid w:val="59E9AF4F"/>
    <w:rsid w:val="59FFF583"/>
    <w:rsid w:val="5A222D62"/>
    <w:rsid w:val="5A3115B5"/>
    <w:rsid w:val="5A57BF46"/>
    <w:rsid w:val="5A6961C1"/>
    <w:rsid w:val="5AC42429"/>
    <w:rsid w:val="5AF90236"/>
    <w:rsid w:val="5B0E1573"/>
    <w:rsid w:val="5B64704A"/>
    <w:rsid w:val="5B6D486F"/>
    <w:rsid w:val="5B730391"/>
    <w:rsid w:val="5B8711B1"/>
    <w:rsid w:val="5B9F737E"/>
    <w:rsid w:val="5BBF8DBE"/>
    <w:rsid w:val="5BD5156F"/>
    <w:rsid w:val="5BE9D43D"/>
    <w:rsid w:val="5BFE196B"/>
    <w:rsid w:val="5BFF2C6E"/>
    <w:rsid w:val="5CAB47D1"/>
    <w:rsid w:val="5CD454CC"/>
    <w:rsid w:val="5D573A29"/>
    <w:rsid w:val="5D5C329A"/>
    <w:rsid w:val="5D5C5BD4"/>
    <w:rsid w:val="5D93355F"/>
    <w:rsid w:val="5DB7F5EE"/>
    <w:rsid w:val="5DC34C1A"/>
    <w:rsid w:val="5DFB7811"/>
    <w:rsid w:val="5E4D6280"/>
    <w:rsid w:val="5E7C6FB1"/>
    <w:rsid w:val="5EBE2A56"/>
    <w:rsid w:val="5ECD29F5"/>
    <w:rsid w:val="5EEF9285"/>
    <w:rsid w:val="5EF9B031"/>
    <w:rsid w:val="5EFC17D6"/>
    <w:rsid w:val="5EFE0FE9"/>
    <w:rsid w:val="5EFFF2D4"/>
    <w:rsid w:val="5F3F4774"/>
    <w:rsid w:val="5F6EEA81"/>
    <w:rsid w:val="5F7909CA"/>
    <w:rsid w:val="5F7F40DF"/>
    <w:rsid w:val="5F9AC16D"/>
    <w:rsid w:val="5F9F1A54"/>
    <w:rsid w:val="5FAF58CF"/>
    <w:rsid w:val="5FBC9BA2"/>
    <w:rsid w:val="5FD799D5"/>
    <w:rsid w:val="5FDF7E07"/>
    <w:rsid w:val="5FE4583E"/>
    <w:rsid w:val="5FEB3E95"/>
    <w:rsid w:val="5FECBB21"/>
    <w:rsid w:val="5FF9CC1B"/>
    <w:rsid w:val="5FFA84FD"/>
    <w:rsid w:val="5FFBF472"/>
    <w:rsid w:val="5FFD9065"/>
    <w:rsid w:val="5FFDAC81"/>
    <w:rsid w:val="5FFFDC1F"/>
    <w:rsid w:val="5FFFF8D9"/>
    <w:rsid w:val="60124A00"/>
    <w:rsid w:val="60155D0D"/>
    <w:rsid w:val="6032666C"/>
    <w:rsid w:val="60B62814"/>
    <w:rsid w:val="611A5F7D"/>
    <w:rsid w:val="613B0E5A"/>
    <w:rsid w:val="61FE227F"/>
    <w:rsid w:val="62877144"/>
    <w:rsid w:val="63064443"/>
    <w:rsid w:val="63094B23"/>
    <w:rsid w:val="631F34F5"/>
    <w:rsid w:val="63957059"/>
    <w:rsid w:val="63AD3C6B"/>
    <w:rsid w:val="63B369BE"/>
    <w:rsid w:val="63CC7639"/>
    <w:rsid w:val="63EB7EDF"/>
    <w:rsid w:val="64265F03"/>
    <w:rsid w:val="64610CE9"/>
    <w:rsid w:val="648570CD"/>
    <w:rsid w:val="64FB189E"/>
    <w:rsid w:val="650739A9"/>
    <w:rsid w:val="65286324"/>
    <w:rsid w:val="656FDEAC"/>
    <w:rsid w:val="65F79D51"/>
    <w:rsid w:val="65FC4EC6"/>
    <w:rsid w:val="66061B48"/>
    <w:rsid w:val="66A03D4A"/>
    <w:rsid w:val="66AF55B6"/>
    <w:rsid w:val="66B45A48"/>
    <w:rsid w:val="66EA3125"/>
    <w:rsid w:val="66FE50E8"/>
    <w:rsid w:val="66FF394F"/>
    <w:rsid w:val="678548D3"/>
    <w:rsid w:val="67C6EEA4"/>
    <w:rsid w:val="67DD0FCE"/>
    <w:rsid w:val="67FEC875"/>
    <w:rsid w:val="68126ECA"/>
    <w:rsid w:val="683C5CF5"/>
    <w:rsid w:val="683D381B"/>
    <w:rsid w:val="68EB3277"/>
    <w:rsid w:val="69286279"/>
    <w:rsid w:val="69551ED0"/>
    <w:rsid w:val="69623539"/>
    <w:rsid w:val="69994194"/>
    <w:rsid w:val="699BAB01"/>
    <w:rsid w:val="69AE0F60"/>
    <w:rsid w:val="69B12712"/>
    <w:rsid w:val="69F96A8A"/>
    <w:rsid w:val="6A2B7B76"/>
    <w:rsid w:val="6A625ACF"/>
    <w:rsid w:val="6A991FB4"/>
    <w:rsid w:val="6AD626BF"/>
    <w:rsid w:val="6B4C6EBD"/>
    <w:rsid w:val="6B55518C"/>
    <w:rsid w:val="6B6759F5"/>
    <w:rsid w:val="6B7B6B77"/>
    <w:rsid w:val="6B8B3C94"/>
    <w:rsid w:val="6C3C4515"/>
    <w:rsid w:val="6CB30550"/>
    <w:rsid w:val="6CE1335E"/>
    <w:rsid w:val="6CF1225D"/>
    <w:rsid w:val="6D5B09CB"/>
    <w:rsid w:val="6D6F249E"/>
    <w:rsid w:val="6DA103DE"/>
    <w:rsid w:val="6DB3FC4C"/>
    <w:rsid w:val="6DD2631D"/>
    <w:rsid w:val="6DE82C47"/>
    <w:rsid w:val="6DEF44EB"/>
    <w:rsid w:val="6E340AC6"/>
    <w:rsid w:val="6E79047A"/>
    <w:rsid w:val="6E7CD39D"/>
    <w:rsid w:val="6E822E5F"/>
    <w:rsid w:val="6EE7AA3D"/>
    <w:rsid w:val="6EEC162A"/>
    <w:rsid w:val="6EFB93E2"/>
    <w:rsid w:val="6EFFEBB9"/>
    <w:rsid w:val="6F375468"/>
    <w:rsid w:val="6F7FB454"/>
    <w:rsid w:val="6F9DCD51"/>
    <w:rsid w:val="6FD131C7"/>
    <w:rsid w:val="6FD4B082"/>
    <w:rsid w:val="6FDF053D"/>
    <w:rsid w:val="6FDFC3F4"/>
    <w:rsid w:val="6FDFF554"/>
    <w:rsid w:val="6FEB8D7B"/>
    <w:rsid w:val="6FEEBA4A"/>
    <w:rsid w:val="6FEFF5FE"/>
    <w:rsid w:val="6FFC6FD1"/>
    <w:rsid w:val="6FFF562A"/>
    <w:rsid w:val="703025E3"/>
    <w:rsid w:val="703D5FDF"/>
    <w:rsid w:val="708B7819"/>
    <w:rsid w:val="70F26FFA"/>
    <w:rsid w:val="71D6204C"/>
    <w:rsid w:val="71FE401B"/>
    <w:rsid w:val="73A97F4D"/>
    <w:rsid w:val="73B87CA4"/>
    <w:rsid w:val="73D5C75C"/>
    <w:rsid w:val="73DF7E47"/>
    <w:rsid w:val="73EF049B"/>
    <w:rsid w:val="73F138D2"/>
    <w:rsid w:val="73FA4304"/>
    <w:rsid w:val="743AE38B"/>
    <w:rsid w:val="74BE08C4"/>
    <w:rsid w:val="74C72DEA"/>
    <w:rsid w:val="74CB0B2C"/>
    <w:rsid w:val="74FC4B86"/>
    <w:rsid w:val="750C4CA1"/>
    <w:rsid w:val="756AF103"/>
    <w:rsid w:val="7572504D"/>
    <w:rsid w:val="757F3A19"/>
    <w:rsid w:val="75A6F520"/>
    <w:rsid w:val="75CB1EE7"/>
    <w:rsid w:val="75DF4291"/>
    <w:rsid w:val="75DF50FF"/>
    <w:rsid w:val="75F26690"/>
    <w:rsid w:val="75FAB1E1"/>
    <w:rsid w:val="75FCB289"/>
    <w:rsid w:val="75FF76EF"/>
    <w:rsid w:val="762027B2"/>
    <w:rsid w:val="766DE88A"/>
    <w:rsid w:val="767F7E59"/>
    <w:rsid w:val="76DCB656"/>
    <w:rsid w:val="76FB2B8E"/>
    <w:rsid w:val="76FE7BB9"/>
    <w:rsid w:val="77221189"/>
    <w:rsid w:val="77318E0C"/>
    <w:rsid w:val="773DA6C1"/>
    <w:rsid w:val="773F30D8"/>
    <w:rsid w:val="775C143F"/>
    <w:rsid w:val="777803CC"/>
    <w:rsid w:val="777FE587"/>
    <w:rsid w:val="77AF20E1"/>
    <w:rsid w:val="77B74AD8"/>
    <w:rsid w:val="77B7C073"/>
    <w:rsid w:val="77B8B2FB"/>
    <w:rsid w:val="77CFA5AB"/>
    <w:rsid w:val="77DD02AF"/>
    <w:rsid w:val="77E79071"/>
    <w:rsid w:val="77F777A1"/>
    <w:rsid w:val="77FD0D84"/>
    <w:rsid w:val="77FE346B"/>
    <w:rsid w:val="782D3AE3"/>
    <w:rsid w:val="78771BF8"/>
    <w:rsid w:val="787E7280"/>
    <w:rsid w:val="788A485A"/>
    <w:rsid w:val="78ED5D89"/>
    <w:rsid w:val="79386064"/>
    <w:rsid w:val="796239A9"/>
    <w:rsid w:val="79A75458"/>
    <w:rsid w:val="79AF8AC7"/>
    <w:rsid w:val="79D044EF"/>
    <w:rsid w:val="79E3D14B"/>
    <w:rsid w:val="79E96551"/>
    <w:rsid w:val="79EF2833"/>
    <w:rsid w:val="79FAB531"/>
    <w:rsid w:val="7A3D1C36"/>
    <w:rsid w:val="7A575D56"/>
    <w:rsid w:val="7A9F3274"/>
    <w:rsid w:val="7AE92639"/>
    <w:rsid w:val="7AFB1A3F"/>
    <w:rsid w:val="7AFE7473"/>
    <w:rsid w:val="7AFEE084"/>
    <w:rsid w:val="7AFF8A56"/>
    <w:rsid w:val="7AFFD6CA"/>
    <w:rsid w:val="7B4B6DD2"/>
    <w:rsid w:val="7B4C27D2"/>
    <w:rsid w:val="7B5F7D85"/>
    <w:rsid w:val="7B783090"/>
    <w:rsid w:val="7B7F2B63"/>
    <w:rsid w:val="7B7FBC1C"/>
    <w:rsid w:val="7B9D48A5"/>
    <w:rsid w:val="7BBBADB3"/>
    <w:rsid w:val="7BBCE887"/>
    <w:rsid w:val="7BCEFAB7"/>
    <w:rsid w:val="7BD6280F"/>
    <w:rsid w:val="7BDB38EB"/>
    <w:rsid w:val="7BDC3EBF"/>
    <w:rsid w:val="7BEE6EC3"/>
    <w:rsid w:val="7BF621CE"/>
    <w:rsid w:val="7BFF1A8A"/>
    <w:rsid w:val="7BFF3B88"/>
    <w:rsid w:val="7C6D375D"/>
    <w:rsid w:val="7C7750F6"/>
    <w:rsid w:val="7CDD3A08"/>
    <w:rsid w:val="7CDE809F"/>
    <w:rsid w:val="7CEEB38D"/>
    <w:rsid w:val="7CFE5BD1"/>
    <w:rsid w:val="7D0E99B1"/>
    <w:rsid w:val="7D154F18"/>
    <w:rsid w:val="7D381730"/>
    <w:rsid w:val="7D3F71F1"/>
    <w:rsid w:val="7D546BB5"/>
    <w:rsid w:val="7D6F2271"/>
    <w:rsid w:val="7D9F9512"/>
    <w:rsid w:val="7DB67EA0"/>
    <w:rsid w:val="7DBB88C0"/>
    <w:rsid w:val="7DBD524A"/>
    <w:rsid w:val="7DBFB1F9"/>
    <w:rsid w:val="7DCF8047"/>
    <w:rsid w:val="7DCFBF77"/>
    <w:rsid w:val="7DDF4F2D"/>
    <w:rsid w:val="7DE524F6"/>
    <w:rsid w:val="7DEAFECB"/>
    <w:rsid w:val="7DECF06A"/>
    <w:rsid w:val="7DEFECED"/>
    <w:rsid w:val="7DFF9720"/>
    <w:rsid w:val="7DFFAD90"/>
    <w:rsid w:val="7E1626EC"/>
    <w:rsid w:val="7E37937A"/>
    <w:rsid w:val="7E3DC094"/>
    <w:rsid w:val="7E4F44F4"/>
    <w:rsid w:val="7EBF52AC"/>
    <w:rsid w:val="7EDF0E35"/>
    <w:rsid w:val="7EDF1C86"/>
    <w:rsid w:val="7EE75115"/>
    <w:rsid w:val="7EF26F22"/>
    <w:rsid w:val="7EF7E8F8"/>
    <w:rsid w:val="7EF83640"/>
    <w:rsid w:val="7EFA8B1E"/>
    <w:rsid w:val="7EFE6DF7"/>
    <w:rsid w:val="7EFEB25D"/>
    <w:rsid w:val="7EFFC122"/>
    <w:rsid w:val="7EFFEBDD"/>
    <w:rsid w:val="7F1F4FCD"/>
    <w:rsid w:val="7F491C33"/>
    <w:rsid w:val="7F4C77EC"/>
    <w:rsid w:val="7F4EA72E"/>
    <w:rsid w:val="7F58D6E2"/>
    <w:rsid w:val="7F7DB9E1"/>
    <w:rsid w:val="7F7DD2FE"/>
    <w:rsid w:val="7F876D3A"/>
    <w:rsid w:val="7F914628"/>
    <w:rsid w:val="7FB1A6CD"/>
    <w:rsid w:val="7FBF303C"/>
    <w:rsid w:val="7FC7B681"/>
    <w:rsid w:val="7FCB0627"/>
    <w:rsid w:val="7FCD3161"/>
    <w:rsid w:val="7FCF49FC"/>
    <w:rsid w:val="7FD38863"/>
    <w:rsid w:val="7FD5A3A7"/>
    <w:rsid w:val="7FDB37DF"/>
    <w:rsid w:val="7FDDFFD5"/>
    <w:rsid w:val="7FEE1019"/>
    <w:rsid w:val="7FEE3289"/>
    <w:rsid w:val="7FEE840F"/>
    <w:rsid w:val="7FF3E92D"/>
    <w:rsid w:val="7FF4571F"/>
    <w:rsid w:val="7FF76C79"/>
    <w:rsid w:val="7FF80779"/>
    <w:rsid w:val="7FFAE91B"/>
    <w:rsid w:val="7FFB2D2A"/>
    <w:rsid w:val="7FFB4C80"/>
    <w:rsid w:val="7FFC0563"/>
    <w:rsid w:val="7FFD7CE0"/>
    <w:rsid w:val="7FFE2C8B"/>
    <w:rsid w:val="7FFF0B48"/>
    <w:rsid w:val="7FFF16AD"/>
    <w:rsid w:val="7FFF4F1C"/>
    <w:rsid w:val="7FFFE014"/>
    <w:rsid w:val="861F2B06"/>
    <w:rsid w:val="87FF4647"/>
    <w:rsid w:val="8DAF9FB7"/>
    <w:rsid w:val="8FDC08E2"/>
    <w:rsid w:val="8FFD5A03"/>
    <w:rsid w:val="92B9610E"/>
    <w:rsid w:val="933F3494"/>
    <w:rsid w:val="93BD2B70"/>
    <w:rsid w:val="95D1389B"/>
    <w:rsid w:val="987E8B54"/>
    <w:rsid w:val="9AFF66E6"/>
    <w:rsid w:val="9CCFB89D"/>
    <w:rsid w:val="9CFD67B3"/>
    <w:rsid w:val="9D3B8777"/>
    <w:rsid w:val="9DBC3C4B"/>
    <w:rsid w:val="9DEB25F9"/>
    <w:rsid w:val="9DF3E605"/>
    <w:rsid w:val="9E7F1A6E"/>
    <w:rsid w:val="9E87AE33"/>
    <w:rsid w:val="9ECD53AC"/>
    <w:rsid w:val="9EFF11E9"/>
    <w:rsid w:val="9F9F00AD"/>
    <w:rsid w:val="9FB757B8"/>
    <w:rsid w:val="9FF78F6B"/>
    <w:rsid w:val="9FFF320F"/>
    <w:rsid w:val="A16F3B11"/>
    <w:rsid w:val="A9F7AEF5"/>
    <w:rsid w:val="A9FBA79A"/>
    <w:rsid w:val="A9FBFEDC"/>
    <w:rsid w:val="AD0F9F85"/>
    <w:rsid w:val="AD4B4197"/>
    <w:rsid w:val="ADE9A80B"/>
    <w:rsid w:val="AE7FE3A1"/>
    <w:rsid w:val="AEF720E2"/>
    <w:rsid w:val="AF3FC03A"/>
    <w:rsid w:val="AF656FA4"/>
    <w:rsid w:val="AFD7BA87"/>
    <w:rsid w:val="AFE5CB71"/>
    <w:rsid w:val="AFEB5069"/>
    <w:rsid w:val="AFEFC214"/>
    <w:rsid w:val="B1EF2F3B"/>
    <w:rsid w:val="B3FF0E56"/>
    <w:rsid w:val="B3FF3719"/>
    <w:rsid w:val="B3FF91B8"/>
    <w:rsid w:val="B5F2EDED"/>
    <w:rsid w:val="B75F142F"/>
    <w:rsid w:val="B7676153"/>
    <w:rsid w:val="B7BFDBC7"/>
    <w:rsid w:val="B7FFC34E"/>
    <w:rsid w:val="B8FE25AF"/>
    <w:rsid w:val="B98F1555"/>
    <w:rsid w:val="BA5F35B2"/>
    <w:rsid w:val="BABFB205"/>
    <w:rsid w:val="BB7D4645"/>
    <w:rsid w:val="BB82785A"/>
    <w:rsid w:val="BBF78FE3"/>
    <w:rsid w:val="BBFF38EF"/>
    <w:rsid w:val="BC9ED84A"/>
    <w:rsid w:val="BCFF41E5"/>
    <w:rsid w:val="BD9E4C8E"/>
    <w:rsid w:val="BDAF3535"/>
    <w:rsid w:val="BDDB219A"/>
    <w:rsid w:val="BE3F7970"/>
    <w:rsid w:val="BE4FE378"/>
    <w:rsid w:val="BEF31417"/>
    <w:rsid w:val="BEFD1690"/>
    <w:rsid w:val="BEFF4D10"/>
    <w:rsid w:val="BF77DF5C"/>
    <w:rsid w:val="BF7FCF12"/>
    <w:rsid w:val="BF99E0EA"/>
    <w:rsid w:val="BFBF7A64"/>
    <w:rsid w:val="BFE381DD"/>
    <w:rsid w:val="BFEF5F5F"/>
    <w:rsid w:val="BFFFE574"/>
    <w:rsid w:val="C1E5966D"/>
    <w:rsid w:val="C6DEEBD5"/>
    <w:rsid w:val="C6FB0EDA"/>
    <w:rsid w:val="C7EE4D1D"/>
    <w:rsid w:val="C7EF9220"/>
    <w:rsid w:val="C8F740B5"/>
    <w:rsid w:val="C99B9885"/>
    <w:rsid w:val="C9BD724F"/>
    <w:rsid w:val="CA6DE5C8"/>
    <w:rsid w:val="CAFF8758"/>
    <w:rsid w:val="CEDD4139"/>
    <w:rsid w:val="CF9AE666"/>
    <w:rsid w:val="CFEFAC55"/>
    <w:rsid w:val="D3BF478C"/>
    <w:rsid w:val="D3F3CAEE"/>
    <w:rsid w:val="D4FB2691"/>
    <w:rsid w:val="D53DEFFF"/>
    <w:rsid w:val="D5BBBDC7"/>
    <w:rsid w:val="D6BF93C0"/>
    <w:rsid w:val="D6CD896D"/>
    <w:rsid w:val="D79FA5EF"/>
    <w:rsid w:val="D7D3D585"/>
    <w:rsid w:val="D7EF7A7F"/>
    <w:rsid w:val="D7EFCE90"/>
    <w:rsid w:val="D7FB92A8"/>
    <w:rsid w:val="DABF54A5"/>
    <w:rsid w:val="DAE76704"/>
    <w:rsid w:val="DAEFCBD8"/>
    <w:rsid w:val="DB7FF929"/>
    <w:rsid w:val="DBE72F0C"/>
    <w:rsid w:val="DBE7356A"/>
    <w:rsid w:val="DBFFF9BE"/>
    <w:rsid w:val="DCAFB502"/>
    <w:rsid w:val="DCED2EA0"/>
    <w:rsid w:val="DDED4040"/>
    <w:rsid w:val="DDFBD8A5"/>
    <w:rsid w:val="DDFFB036"/>
    <w:rsid w:val="DE7FA269"/>
    <w:rsid w:val="DE99DFFF"/>
    <w:rsid w:val="DEB5B94B"/>
    <w:rsid w:val="DEDB2910"/>
    <w:rsid w:val="DEE73CA1"/>
    <w:rsid w:val="DF0786E4"/>
    <w:rsid w:val="DF2F3B96"/>
    <w:rsid w:val="DF3B13CB"/>
    <w:rsid w:val="DF7F5724"/>
    <w:rsid w:val="DF9B9CB8"/>
    <w:rsid w:val="DFBE3AA4"/>
    <w:rsid w:val="DFD31390"/>
    <w:rsid w:val="DFE2E345"/>
    <w:rsid w:val="DFEF8C8D"/>
    <w:rsid w:val="DFF63B30"/>
    <w:rsid w:val="DFFF2E22"/>
    <w:rsid w:val="DFFF44F7"/>
    <w:rsid w:val="E5F32E1A"/>
    <w:rsid w:val="E5FBDD68"/>
    <w:rsid w:val="E6A747AF"/>
    <w:rsid w:val="E6BF4999"/>
    <w:rsid w:val="E766399F"/>
    <w:rsid w:val="E77C96C2"/>
    <w:rsid w:val="E77F8DAA"/>
    <w:rsid w:val="E7FF5E7B"/>
    <w:rsid w:val="E87B82F2"/>
    <w:rsid w:val="E8FB02EB"/>
    <w:rsid w:val="E95D4F45"/>
    <w:rsid w:val="E9FFEC81"/>
    <w:rsid w:val="EBB32C14"/>
    <w:rsid w:val="EBCE20C5"/>
    <w:rsid w:val="EBFBBDE5"/>
    <w:rsid w:val="EBFD5989"/>
    <w:rsid w:val="EBFEF116"/>
    <w:rsid w:val="ED77C0BD"/>
    <w:rsid w:val="EDEF7C34"/>
    <w:rsid w:val="EDF781E7"/>
    <w:rsid w:val="EE5D344D"/>
    <w:rsid w:val="EE7BB48C"/>
    <w:rsid w:val="EE7E804C"/>
    <w:rsid w:val="EE7EABA4"/>
    <w:rsid w:val="EF1F41DA"/>
    <w:rsid w:val="EF343952"/>
    <w:rsid w:val="EF7F531B"/>
    <w:rsid w:val="EF9FC973"/>
    <w:rsid w:val="EFA7F96E"/>
    <w:rsid w:val="EFBD5771"/>
    <w:rsid w:val="EFBF04B9"/>
    <w:rsid w:val="EFBF82E6"/>
    <w:rsid w:val="EFBF9AEF"/>
    <w:rsid w:val="EFEE97E4"/>
    <w:rsid w:val="EFEF8C12"/>
    <w:rsid w:val="EFEFACF7"/>
    <w:rsid w:val="EFF727FB"/>
    <w:rsid w:val="EFF7C05F"/>
    <w:rsid w:val="EFFB459E"/>
    <w:rsid w:val="EFFBB40C"/>
    <w:rsid w:val="EFFE5F39"/>
    <w:rsid w:val="EFFF3C92"/>
    <w:rsid w:val="EFFF7A23"/>
    <w:rsid w:val="F3E17A0A"/>
    <w:rsid w:val="F3FDAA01"/>
    <w:rsid w:val="F4F32BD0"/>
    <w:rsid w:val="F4F79718"/>
    <w:rsid w:val="F4F89C27"/>
    <w:rsid w:val="F5DCEDFB"/>
    <w:rsid w:val="F5DDABCF"/>
    <w:rsid w:val="F5DF0002"/>
    <w:rsid w:val="F5F5B6C7"/>
    <w:rsid w:val="F62A5ABB"/>
    <w:rsid w:val="F62F8D37"/>
    <w:rsid w:val="F6BFF4FE"/>
    <w:rsid w:val="F6FF5C36"/>
    <w:rsid w:val="F73DB977"/>
    <w:rsid w:val="F75B657E"/>
    <w:rsid w:val="F774CF2B"/>
    <w:rsid w:val="F77F1F97"/>
    <w:rsid w:val="F7BA6BCB"/>
    <w:rsid w:val="F7BD7CF3"/>
    <w:rsid w:val="F7DC2599"/>
    <w:rsid w:val="F7F3B952"/>
    <w:rsid w:val="F7F3C474"/>
    <w:rsid w:val="F7FAEEC3"/>
    <w:rsid w:val="F7FDF29F"/>
    <w:rsid w:val="F7FF2EC2"/>
    <w:rsid w:val="F89F8D61"/>
    <w:rsid w:val="F8ACFD55"/>
    <w:rsid w:val="F8C5E9C5"/>
    <w:rsid w:val="F8EE9339"/>
    <w:rsid w:val="F8FD1693"/>
    <w:rsid w:val="F95D3263"/>
    <w:rsid w:val="F9CF6985"/>
    <w:rsid w:val="F9D2450C"/>
    <w:rsid w:val="F9ED6DA0"/>
    <w:rsid w:val="F9EF4545"/>
    <w:rsid w:val="FA3FBB3E"/>
    <w:rsid w:val="FA7F7B7E"/>
    <w:rsid w:val="FAEF4F4B"/>
    <w:rsid w:val="FAFA411D"/>
    <w:rsid w:val="FB160160"/>
    <w:rsid w:val="FB3FE42A"/>
    <w:rsid w:val="FB569045"/>
    <w:rsid w:val="FB6B63ED"/>
    <w:rsid w:val="FB7F0940"/>
    <w:rsid w:val="FBAD9371"/>
    <w:rsid w:val="FBB33EF6"/>
    <w:rsid w:val="FBB752FD"/>
    <w:rsid w:val="FBD55332"/>
    <w:rsid w:val="FBDD5AC8"/>
    <w:rsid w:val="FBDDCBE5"/>
    <w:rsid w:val="FBEFACB0"/>
    <w:rsid w:val="FBF566C2"/>
    <w:rsid w:val="FBF61F79"/>
    <w:rsid w:val="FBF6EBE0"/>
    <w:rsid w:val="FBFEFEB5"/>
    <w:rsid w:val="FBFF9E93"/>
    <w:rsid w:val="FBFFB697"/>
    <w:rsid w:val="FBFFC92C"/>
    <w:rsid w:val="FCF75A9C"/>
    <w:rsid w:val="FCFB1A32"/>
    <w:rsid w:val="FCFF43B7"/>
    <w:rsid w:val="FD3FD2D3"/>
    <w:rsid w:val="FD4E3CEB"/>
    <w:rsid w:val="FD7D5C86"/>
    <w:rsid w:val="FD7DACA0"/>
    <w:rsid w:val="FD7F6181"/>
    <w:rsid w:val="FDBE27BD"/>
    <w:rsid w:val="FDCA0AD0"/>
    <w:rsid w:val="FDD9B792"/>
    <w:rsid w:val="FDEB3D5A"/>
    <w:rsid w:val="FDF3E25E"/>
    <w:rsid w:val="FDFD004E"/>
    <w:rsid w:val="FDFED709"/>
    <w:rsid w:val="FE755E54"/>
    <w:rsid w:val="FE8F848F"/>
    <w:rsid w:val="FEAF7CCE"/>
    <w:rsid w:val="FEAFAADC"/>
    <w:rsid w:val="FEDC68DE"/>
    <w:rsid w:val="FEFABAC1"/>
    <w:rsid w:val="FEFB8F94"/>
    <w:rsid w:val="FEFFDE77"/>
    <w:rsid w:val="FF3F5105"/>
    <w:rsid w:val="FF5D99B6"/>
    <w:rsid w:val="FF674675"/>
    <w:rsid w:val="FF6BB840"/>
    <w:rsid w:val="FF6D3D13"/>
    <w:rsid w:val="FF6E6B85"/>
    <w:rsid w:val="FF7F6425"/>
    <w:rsid w:val="FF9F7865"/>
    <w:rsid w:val="FF9F9AAC"/>
    <w:rsid w:val="FFAF2849"/>
    <w:rsid w:val="FFB75E81"/>
    <w:rsid w:val="FFBDEADE"/>
    <w:rsid w:val="FFBF16A9"/>
    <w:rsid w:val="FFBF389F"/>
    <w:rsid w:val="FFD6A0EC"/>
    <w:rsid w:val="FFDB99AA"/>
    <w:rsid w:val="FFDF007E"/>
    <w:rsid w:val="FFDF69C6"/>
    <w:rsid w:val="FFDF84E1"/>
    <w:rsid w:val="FFDFA0C4"/>
    <w:rsid w:val="FFED228C"/>
    <w:rsid w:val="FFF064C6"/>
    <w:rsid w:val="FFF66E8D"/>
    <w:rsid w:val="FFFC23A5"/>
    <w:rsid w:val="FFFE6407"/>
    <w:rsid w:val="FFFEB2E0"/>
    <w:rsid w:val="FFFEB461"/>
    <w:rsid w:val="FFFFA0DE"/>
    <w:rsid w:val="FFFFC50A"/>
    <w:rsid w:val="FFFFD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9"/>
    <w:unhideWhenUsed/>
    <w:qFormat/>
    <w:uiPriority w:val="0"/>
    <w:pPr>
      <w:spacing w:after="120"/>
      <w:ind w:left="420" w:leftChars="200"/>
    </w:pPr>
  </w:style>
  <w:style w:type="paragraph" w:styleId="5">
    <w:name w:val="Body Text Indent 2"/>
    <w:basedOn w:val="1"/>
    <w:next w:val="1"/>
    <w:qFormat/>
    <w:uiPriority w:val="0"/>
    <w:pPr>
      <w:spacing w:after="120" w:line="480" w:lineRule="auto"/>
      <w:ind w:left="200" w:leftChars="200"/>
    </w:pPr>
  </w:style>
  <w:style w:type="paragraph" w:styleId="6">
    <w:name w:val="footer"/>
    <w:basedOn w:val="1"/>
    <w:next w:val="1"/>
    <w:link w:val="34"/>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link w:val="20"/>
    <w:qFormat/>
    <w:uiPriority w:val="0"/>
    <w:pPr>
      <w:spacing w:after="0"/>
      <w:ind w:left="0" w:leftChars="0" w:firstLine="420"/>
    </w:p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character" w:styleId="15">
    <w:name w:val="footnote reference"/>
    <w:basedOn w:val="12"/>
    <w:qFormat/>
    <w:uiPriority w:val="0"/>
    <w:rPr>
      <w:vertAlign w:val="superscript"/>
    </w:rPr>
  </w:style>
  <w:style w:type="paragraph" w:customStyle="1" w:styleId="16">
    <w:name w:val="Body Text First Indent 21"/>
    <w:basedOn w:val="1"/>
    <w:qFormat/>
    <w:uiPriority w:val="0"/>
    <w:pPr>
      <w:ind w:left="200" w:leftChars="200" w:firstLine="420"/>
    </w:pPr>
    <w:rPr>
      <w:rFonts w:ascii="仿宋_GB2312" w:eastAsia="仿宋_GB2312" w:cs="仿宋_GB2312"/>
      <w:szCs w:val="32"/>
    </w:rPr>
  </w:style>
  <w:style w:type="character" w:customStyle="1" w:styleId="17">
    <w:name w:val="font81"/>
    <w:basedOn w:val="12"/>
    <w:qFormat/>
    <w:uiPriority w:val="0"/>
    <w:rPr>
      <w:rFonts w:ascii="方正仿宋_GBK" w:hAnsi="方正仿宋_GBK" w:eastAsia="方正仿宋_GBK" w:cs="方正仿宋_GBK"/>
      <w:color w:val="000000"/>
      <w:sz w:val="20"/>
      <w:szCs w:val="20"/>
      <w:u w:val="none"/>
    </w:rPr>
  </w:style>
  <w:style w:type="character" w:customStyle="1" w:styleId="18">
    <w:name w:val="font31"/>
    <w:basedOn w:val="12"/>
    <w:qFormat/>
    <w:uiPriority w:val="0"/>
    <w:rPr>
      <w:rFonts w:hint="default" w:ascii="Times New Roman" w:hAnsi="Times New Roman" w:cs="Times New Roman"/>
      <w:color w:val="000000"/>
      <w:sz w:val="20"/>
      <w:szCs w:val="20"/>
      <w:u w:val="none"/>
    </w:rPr>
  </w:style>
  <w:style w:type="character" w:customStyle="1" w:styleId="19">
    <w:name w:val="正文文本缩进 字符"/>
    <w:basedOn w:val="12"/>
    <w:link w:val="4"/>
    <w:qFormat/>
    <w:uiPriority w:val="0"/>
    <w:rPr>
      <w:kern w:val="2"/>
      <w:sz w:val="21"/>
      <w:szCs w:val="24"/>
    </w:rPr>
  </w:style>
  <w:style w:type="character" w:customStyle="1" w:styleId="20">
    <w:name w:val="正文文本首行缩进 2 字符"/>
    <w:basedOn w:val="19"/>
    <w:link w:val="10"/>
    <w:qFormat/>
    <w:uiPriority w:val="0"/>
    <w:rPr>
      <w:kern w:val="2"/>
      <w:sz w:val="21"/>
      <w:szCs w:val="24"/>
    </w:rPr>
  </w:style>
  <w:style w:type="paragraph" w:customStyle="1" w:styleId="21">
    <w:name w:val="p1"/>
    <w:basedOn w:val="1"/>
    <w:qFormat/>
    <w:uiPriority w:val="0"/>
    <w:pPr>
      <w:spacing w:line="380" w:lineRule="atLeast"/>
      <w:jc w:val="left"/>
    </w:pPr>
    <w:rPr>
      <w:rFonts w:eastAsia="Times New Roman"/>
      <w:color w:val="000000"/>
      <w:kern w:val="0"/>
      <w:sz w:val="26"/>
      <w:szCs w:val="26"/>
    </w:rPr>
  </w:style>
  <w:style w:type="character" w:customStyle="1" w:styleId="22">
    <w:name w:val="NormalCharacter"/>
    <w:autoRedefine/>
    <w:qFormat/>
    <w:uiPriority w:val="0"/>
    <w:rPr>
      <w:rFonts w:ascii="Calibri" w:hAnsi="Calibri" w:eastAsia="宋体" w:cs="Times New Roman"/>
      <w:kern w:val="2"/>
      <w:sz w:val="21"/>
      <w:szCs w:val="22"/>
      <w:lang w:val="en-US" w:eastAsia="zh-CN" w:bidi="ar-SA"/>
    </w:rPr>
  </w:style>
  <w:style w:type="character" w:customStyle="1" w:styleId="23">
    <w:name w:val="font101"/>
    <w:basedOn w:val="12"/>
    <w:qFormat/>
    <w:uiPriority w:val="0"/>
    <w:rPr>
      <w:rFonts w:hint="eastAsia" w:ascii="方正仿宋_GBK" w:hAnsi="方正仿宋_GBK" w:eastAsia="方正仿宋_GBK" w:cs="方正仿宋_GBK"/>
      <w:color w:val="000000"/>
      <w:sz w:val="20"/>
      <w:szCs w:val="20"/>
      <w:u w:val="none"/>
    </w:rPr>
  </w:style>
  <w:style w:type="character" w:customStyle="1" w:styleId="24">
    <w:name w:val="font21"/>
    <w:basedOn w:val="12"/>
    <w:qFormat/>
    <w:uiPriority w:val="0"/>
    <w:rPr>
      <w:rFonts w:ascii="方正仿宋_GBK" w:hAnsi="方正仿宋_GBK" w:eastAsia="方正仿宋_GBK" w:cs="方正仿宋_GBK"/>
      <w:b/>
      <w:bCs/>
      <w:color w:val="FF0000"/>
      <w:sz w:val="20"/>
      <w:szCs w:val="20"/>
      <w:u w:val="none"/>
    </w:rPr>
  </w:style>
  <w:style w:type="character" w:customStyle="1" w:styleId="25">
    <w:name w:val="font11"/>
    <w:basedOn w:val="12"/>
    <w:qFormat/>
    <w:uiPriority w:val="0"/>
    <w:rPr>
      <w:rFonts w:hint="eastAsia" w:ascii="方正仿宋_GBK" w:hAnsi="方正仿宋_GBK" w:eastAsia="方正仿宋_GBK" w:cs="方正仿宋_GBK"/>
      <w:color w:val="000000"/>
      <w:sz w:val="20"/>
      <w:szCs w:val="20"/>
      <w:u w:val="none"/>
    </w:rPr>
  </w:style>
  <w:style w:type="character" w:customStyle="1" w:styleId="26">
    <w:name w:val="font131"/>
    <w:basedOn w:val="12"/>
    <w:qFormat/>
    <w:uiPriority w:val="0"/>
    <w:rPr>
      <w:rFonts w:hint="eastAsia" w:ascii="方正仿宋_GBK" w:hAnsi="方正仿宋_GBK" w:eastAsia="方正仿宋_GBK" w:cs="方正仿宋_GBK"/>
      <w:color w:val="000000"/>
      <w:sz w:val="20"/>
      <w:szCs w:val="20"/>
      <w:u w:val="none"/>
    </w:rPr>
  </w:style>
  <w:style w:type="character" w:customStyle="1" w:styleId="27">
    <w:name w:val="font61"/>
    <w:basedOn w:val="12"/>
    <w:qFormat/>
    <w:uiPriority w:val="0"/>
    <w:rPr>
      <w:rFonts w:ascii="方正仿宋_GBK" w:hAnsi="方正仿宋_GBK" w:eastAsia="方正仿宋_GBK" w:cs="方正仿宋_GBK"/>
      <w:color w:val="000000"/>
      <w:sz w:val="20"/>
      <w:szCs w:val="20"/>
      <w:u w:val="none"/>
    </w:rPr>
  </w:style>
  <w:style w:type="character" w:customStyle="1" w:styleId="28">
    <w:name w:val="font41"/>
    <w:basedOn w:val="12"/>
    <w:qFormat/>
    <w:uiPriority w:val="0"/>
    <w:rPr>
      <w:rFonts w:hint="default" w:ascii="Times New Roman" w:hAnsi="Times New Roman" w:cs="Times New Roman"/>
      <w:color w:val="000000"/>
      <w:sz w:val="40"/>
      <w:szCs w:val="40"/>
      <w:u w:val="none"/>
    </w:rPr>
  </w:style>
  <w:style w:type="character" w:customStyle="1" w:styleId="29">
    <w:name w:val="font112"/>
    <w:basedOn w:val="12"/>
    <w:qFormat/>
    <w:uiPriority w:val="0"/>
    <w:rPr>
      <w:rFonts w:hint="eastAsia" w:ascii="方正黑体_GBK" w:hAnsi="方正黑体_GBK" w:eastAsia="方正黑体_GBK" w:cs="方正黑体_GBK"/>
      <w:color w:val="000000"/>
      <w:sz w:val="24"/>
      <w:szCs w:val="24"/>
      <w:u w:val="none"/>
    </w:rPr>
  </w:style>
  <w:style w:type="character" w:customStyle="1" w:styleId="30">
    <w:name w:val="font71"/>
    <w:basedOn w:val="12"/>
    <w:qFormat/>
    <w:uiPriority w:val="0"/>
    <w:rPr>
      <w:rFonts w:hint="default" w:ascii="Times New Roman" w:hAnsi="Times New Roman" w:cs="Times New Roman"/>
      <w:color w:val="000000"/>
      <w:sz w:val="24"/>
      <w:szCs w:val="24"/>
      <w:u w:val="none"/>
    </w:rPr>
  </w:style>
  <w:style w:type="character" w:customStyle="1" w:styleId="31">
    <w:name w:val="font91"/>
    <w:basedOn w:val="12"/>
    <w:qFormat/>
    <w:uiPriority w:val="0"/>
    <w:rPr>
      <w:rFonts w:hint="default" w:ascii="Times New Roman" w:hAnsi="Times New Roman" w:cs="Times New Roman"/>
      <w:color w:val="000000"/>
      <w:sz w:val="24"/>
      <w:szCs w:val="24"/>
      <w:u w:val="none"/>
    </w:rPr>
  </w:style>
  <w:style w:type="character" w:customStyle="1" w:styleId="32">
    <w:name w:val="font121"/>
    <w:basedOn w:val="12"/>
    <w:qFormat/>
    <w:uiPriority w:val="0"/>
    <w:rPr>
      <w:rFonts w:hint="eastAsia" w:ascii="方正仿宋_GBK" w:hAnsi="方正仿宋_GBK" w:eastAsia="方正仿宋_GBK" w:cs="方正仿宋_GBK"/>
      <w:color w:val="000000"/>
      <w:sz w:val="22"/>
      <w:szCs w:val="22"/>
      <w:u w:val="none"/>
    </w:rPr>
  </w:style>
  <w:style w:type="character" w:customStyle="1" w:styleId="33">
    <w:name w:val="font141"/>
    <w:basedOn w:val="12"/>
    <w:qFormat/>
    <w:uiPriority w:val="0"/>
    <w:rPr>
      <w:rFonts w:hint="default" w:ascii="Times New Roman" w:hAnsi="Times New Roman" w:cs="Times New Roman"/>
      <w:color w:val="000000"/>
      <w:sz w:val="24"/>
      <w:szCs w:val="24"/>
      <w:u w:val="none"/>
      <w:vertAlign w:val="subscript"/>
    </w:rPr>
  </w:style>
  <w:style w:type="character" w:customStyle="1" w:styleId="34">
    <w:name w:val="页脚 字符"/>
    <w:basedOn w:val="12"/>
    <w:link w:val="6"/>
    <w:qFormat/>
    <w:uiPriority w:val="99"/>
    <w:rPr>
      <w:kern w:val="2"/>
      <w:sz w:val="18"/>
      <w:szCs w:val="24"/>
    </w:rPr>
  </w:style>
  <w:style w:type="character" w:customStyle="1" w:styleId="35">
    <w:name w:val="font51"/>
    <w:basedOn w:val="12"/>
    <w:qFormat/>
    <w:uiPriority w:val="0"/>
    <w:rPr>
      <w:rFonts w:hint="eastAsia" w:ascii="方正仿宋_GBK" w:hAnsi="方正仿宋_GBK" w:eastAsia="方正仿宋_GBK" w:cs="方正仿宋_GBK"/>
      <w:color w:val="000000"/>
      <w:sz w:val="24"/>
      <w:szCs w:val="24"/>
      <w:u w:val="none"/>
    </w:rPr>
  </w:style>
  <w:style w:type="character" w:customStyle="1" w:styleId="36">
    <w:name w:val="font191"/>
    <w:basedOn w:val="12"/>
    <w:qFormat/>
    <w:uiPriority w:val="0"/>
    <w:rPr>
      <w:rFonts w:hint="eastAsia" w:ascii="方正仿宋_GBK" w:hAnsi="方正仿宋_GBK" w:eastAsia="方正仿宋_GBK" w:cs="方正仿宋_GBK"/>
      <w:color w:val="000000"/>
      <w:sz w:val="20"/>
      <w:szCs w:val="20"/>
      <w:u w:val="none"/>
    </w:rPr>
  </w:style>
  <w:style w:type="character" w:customStyle="1" w:styleId="37">
    <w:name w:val="font151"/>
    <w:basedOn w:val="12"/>
    <w:qFormat/>
    <w:uiPriority w:val="0"/>
    <w:rPr>
      <w:rFonts w:hint="eastAsia" w:ascii="方正仿宋_GBK" w:hAnsi="方正仿宋_GBK" w:eastAsia="方正仿宋_GBK" w:cs="方正仿宋_GBK"/>
      <w:b/>
      <w:bCs/>
      <w:color w:val="FF0000"/>
      <w:sz w:val="20"/>
      <w:szCs w:val="20"/>
      <w:u w:val="none"/>
    </w:rPr>
  </w:style>
  <w:style w:type="character" w:customStyle="1" w:styleId="38">
    <w:name w:val="font201"/>
    <w:basedOn w:val="12"/>
    <w:qFormat/>
    <w:uiPriority w:val="0"/>
    <w:rPr>
      <w:rFonts w:hint="eastAsia" w:ascii="方正仿宋_GBK" w:hAnsi="方正仿宋_GBK" w:eastAsia="方正仿宋_GBK" w:cs="方正仿宋_GBK"/>
      <w:color w:val="000000"/>
      <w:sz w:val="20"/>
      <w:szCs w:val="20"/>
      <w:u w:val="none"/>
    </w:rPr>
  </w:style>
  <w:style w:type="character" w:customStyle="1" w:styleId="39">
    <w:name w:val="font212"/>
    <w:basedOn w:val="12"/>
    <w:qFormat/>
    <w:uiPriority w:val="0"/>
    <w:rPr>
      <w:rFonts w:hint="eastAsia" w:ascii="方正仿宋_GBK" w:hAnsi="方正仿宋_GBK" w:eastAsia="方正仿宋_GBK" w:cs="方正仿宋_GBK"/>
      <w:color w:val="000000"/>
      <w:sz w:val="20"/>
      <w:szCs w:val="20"/>
      <w:u w:val="none"/>
    </w:rPr>
  </w:style>
  <w:style w:type="character" w:customStyle="1" w:styleId="40">
    <w:name w:val="font221"/>
    <w:basedOn w:val="12"/>
    <w:qFormat/>
    <w:uiPriority w:val="0"/>
    <w:rPr>
      <w:rFonts w:hint="eastAsia" w:ascii="宋体" w:hAnsi="宋体" w:eastAsia="宋体" w:cs="宋体"/>
      <w:color w:val="000000"/>
      <w:sz w:val="20"/>
      <w:szCs w:val="20"/>
      <w:u w:val="none"/>
    </w:rPr>
  </w:style>
  <w:style w:type="character" w:customStyle="1" w:styleId="41">
    <w:name w:val="font231"/>
    <w:basedOn w:val="12"/>
    <w:qFormat/>
    <w:uiPriority w:val="0"/>
    <w:rPr>
      <w:rFonts w:hint="default" w:ascii="Times New Roman" w:hAnsi="Times New Roman" w:cs="Times New Roman"/>
      <w:color w:val="000000"/>
      <w:sz w:val="20"/>
      <w:szCs w:val="20"/>
      <w:u w:val="none"/>
      <w:vertAlign w:val="subscript"/>
    </w:rPr>
  </w:style>
  <w:style w:type="character" w:customStyle="1" w:styleId="42">
    <w:name w:val="font241"/>
    <w:basedOn w:val="12"/>
    <w:qFormat/>
    <w:uiPriority w:val="0"/>
    <w:rPr>
      <w:rFonts w:hint="eastAsia" w:ascii="方正仿宋_GBK" w:hAnsi="方正仿宋_GBK" w:eastAsia="方正仿宋_GBK" w:cs="方正仿宋_GBK"/>
      <w:color w:val="000000"/>
      <w:sz w:val="20"/>
      <w:szCs w:val="20"/>
      <w:u w:val="none"/>
    </w:rPr>
  </w:style>
  <w:style w:type="character" w:customStyle="1" w:styleId="43">
    <w:name w:val="font251"/>
    <w:basedOn w:val="12"/>
    <w:qFormat/>
    <w:uiPriority w:val="0"/>
    <w:rPr>
      <w:rFonts w:ascii="微软雅黑" w:hAnsi="微软雅黑" w:eastAsia="微软雅黑" w:cs="微软雅黑"/>
      <w:color w:val="000000"/>
      <w:sz w:val="20"/>
      <w:szCs w:val="20"/>
      <w:u w:val="none"/>
    </w:rPr>
  </w:style>
  <w:style w:type="character" w:customStyle="1" w:styleId="44">
    <w:name w:val="font171"/>
    <w:basedOn w:val="12"/>
    <w:qFormat/>
    <w:uiPriority w:val="0"/>
    <w:rPr>
      <w:rFonts w:hint="eastAsia" w:ascii="方正仿宋_GBK" w:hAnsi="方正仿宋_GBK" w:eastAsia="方正仿宋_GBK" w:cs="方正仿宋_GBK"/>
      <w:color w:val="FF0000"/>
      <w:sz w:val="20"/>
      <w:szCs w:val="20"/>
      <w:u w:val="none"/>
    </w:rPr>
  </w:style>
  <w:style w:type="character" w:customStyle="1" w:styleId="45">
    <w:name w:val="font161"/>
    <w:basedOn w:val="12"/>
    <w:qFormat/>
    <w:uiPriority w:val="0"/>
    <w:rPr>
      <w:rFonts w:hint="default" w:ascii="Times New Roman" w:hAnsi="Times New Roman" w:cs="Times New Roman"/>
      <w:b/>
      <w:bCs/>
      <w:color w:val="FF0000"/>
      <w:sz w:val="20"/>
      <w:szCs w:val="20"/>
      <w:u w:val="none"/>
    </w:rPr>
  </w:style>
  <w:style w:type="character" w:customStyle="1" w:styleId="46">
    <w:name w:val="font110"/>
    <w:basedOn w:val="12"/>
    <w:qFormat/>
    <w:uiPriority w:val="0"/>
    <w:rPr>
      <w:rFonts w:hint="default" w:ascii="Times New Roman" w:hAnsi="Times New Roman" w:cs="Times New Roman"/>
      <w:color w:val="000000"/>
      <w:sz w:val="20"/>
      <w:szCs w:val="20"/>
      <w:u w:val="none"/>
    </w:rPr>
  </w:style>
  <w:style w:type="character" w:customStyle="1" w:styleId="47">
    <w:name w:val="font211"/>
    <w:basedOn w:val="12"/>
    <w:qFormat/>
    <w:uiPriority w:val="0"/>
    <w:rPr>
      <w:rFonts w:hint="eastAsia" w:ascii="方正仿宋_GBK" w:hAnsi="方正仿宋_GBK" w:eastAsia="方正仿宋_GBK" w:cs="方正仿宋_GBK"/>
      <w:color w:val="000000"/>
      <w:sz w:val="20"/>
      <w:szCs w:val="20"/>
      <w:u w:val="none"/>
    </w:rPr>
  </w:style>
  <w:style w:type="character" w:customStyle="1" w:styleId="48">
    <w:name w:val="font181"/>
    <w:basedOn w:val="12"/>
    <w:qFormat/>
    <w:uiPriority w:val="0"/>
    <w:rPr>
      <w:rFonts w:hint="eastAsia" w:ascii="方正仿宋_GBK" w:hAnsi="方正仿宋_GBK" w:eastAsia="方正仿宋_GBK" w:cs="方正仿宋_GBK"/>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b12b7fa5-5ac6-4f23-bb7d-47824e282002</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2876F49E</paraID>
      <start>3</start>
      <end>14</end>
      <status>ignored</status>
      <modifiedWord/>
      <trackRevisions>false</trackRevisions>
    </reviewItem>
    <reviewItem>
      <errorID>a4152eaa-bcc6-4fae-9fd0-9e580bbb08af</errorID>
      <errorWord>改善</errorWord>
      <group>L1_Grammar</group>
      <groupName>语法问题</groupName>
      <ability>L2_Grammar</ability>
      <abilityName>语法错误</abilityName>
      <candidateList>
        <item>提高</item>
      </candidateList>
      <explain>“水平～改善”搭配不当，建议修改为“水平～提高”。</explain>
      <paraID>44E8100B</paraID>
      <start>8</start>
      <end>10</end>
      <status>ignored</status>
      <modifiedWord/>
      <trackRevisions>false</trackRevisions>
    </reviewItem>
    <reviewItem>
      <errorID>01f99ad5-294c-4702-9a65-01f7de639de5</errorID>
      <errorWord>安全治本攻坚三年行动</errorWord>
      <group>L1_Political</group>
      <groupName>政治性问题</groupName>
      <ability>L2_Keyword</ability>
      <abilityName>固定表述</abilityName>
      <candidateList>
        <item>安全生产治本攻坚三年行动</item>
      </candidateList>
      <explain>词汇“安全生产治本攻坚三年行动”在特定场景下为固定表述形式，请确认此处的“安全治本攻坚三年行动”是否存在不当。</explain>
      <paraID> 114BEEB</paraID>
      <start>11</start>
      <end>21</end>
      <status>ignored</status>
      <modifiedWord/>
      <trackRevisions>false</trackRevisions>
    </reviewItem>
    <reviewItem>
      <errorID>5513bf75-c22d-47b4-b0f0-a6ab8ff4df88</errorID>
      <errorWord>达</errorWord>
      <group>L1_Word</group>
      <groupName>字词问题</groupName>
      <ability>L2_Typo</ability>
      <abilityName>字词错误</abilityName>
      <candidateList>
        <item>达到</item>
      </candidateList>
      <explain>〈动〉到（多指抽象事物或程度）：达得到｜达不到｜目的没有～｜～国际水平。</explain>
      <paraID> 114BEEB</paraID>
      <start>226</start>
      <end>227</end>
      <status>ignored</status>
      <modifiedWord/>
      <trackRevisions>false</trackRevisions>
    </reviewItem>
  </reviewItems>
  <config/>
</contractReview>
</file>

<file path=customXml/itemProps1.xml><?xml version="1.0" encoding="utf-8"?>
<ds:datastoreItem xmlns:ds="http://schemas.openxmlformats.org/officeDocument/2006/customXml" ds:itemID="{3bff7dc8-1614-4f84-a784-6ae50e06f98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7096</Words>
  <Characters>7422</Characters>
  <Lines>146</Lines>
  <Paragraphs>41</Paragraphs>
  <TotalTime>14</TotalTime>
  <ScaleCrop>false</ScaleCrop>
  <LinksUpToDate>false</LinksUpToDate>
  <CharactersWithSpaces>7423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2024-12-13T23:24:00Z</dcterms:created>
  <dc:creator>陈友</dc:creator>
  <cp:lastModifiedBy>周琴</cp:lastModifiedBy>
  <cp:lastPrinted>2025-12-24T10:56:00Z</cp:lastPrinted>
  <dcterms:modified xsi:type="dcterms:W3CDTF">2026-04-13T08:29:06Z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A472923026584B8ABC34233B8F5B4F85_13</vt:lpwstr>
  </property>
  <property fmtid="{D5CDD505-2E9C-101B-9397-08002B2CF9AE}" pid="4" name="KSOTemplateDocerSaveRecord">
    <vt:lpwstr>eyJoZGlkIjoiYmYyZTVlNzI5YzU4NDBjZWQyMThmODAzZmUwYTIxMmUiLCJ1c2VySWQiOiI1Njg0NDMyODIifQ==</vt:lpwstr>
  </property>
</Properties>
</file>