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鼓楼区国有土地上房屋征收补偿决定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操作实施细则</w:t>
      </w:r>
      <w:r>
        <w:rPr>
          <w:rFonts w:hint="eastAsia" w:ascii="方正小标宋简体" w:eastAsia="方正小标宋简体"/>
          <w:color w:val="000000" w:themeColor="text1"/>
          <w:sz w:val="44"/>
          <w:szCs w:val="44"/>
          <w:highlight w:val="none"/>
          <w:lang w:eastAsia="zh-CN"/>
          <w14:textFill>
            <w14:solidFill>
              <w14:schemeClr w14:val="tx1"/>
            </w14:solidFill>
          </w14:textFill>
        </w:rPr>
        <w:t>（征求意见稿）</w:t>
      </w:r>
    </w:p>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鼓政规〔2025〕</w:t>
      </w:r>
      <w:r>
        <w:rPr>
          <w:rFonts w:hint="eastAsia" w:ascii="方正仿宋_GBK" w:hAnsi="方正仿宋_GBK" w:eastAsia="方正仿宋_GBK" w:cs="方正仿宋_GBK"/>
          <w:sz w:val="32"/>
          <w:szCs w:val="32"/>
          <w:lang w:eastAsia="zh-CN"/>
        </w:rPr>
        <w:t>Ｘ</w:t>
      </w:r>
      <w:bookmarkStart w:id="3" w:name="_GoBack"/>
      <w:bookmarkEnd w:id="3"/>
      <w:r>
        <w:rPr>
          <w:rFonts w:hint="eastAsia" w:ascii="方正仿宋_GBK" w:hAnsi="方正仿宋_GBK" w:eastAsia="方正仿宋_GBK" w:cs="方正仿宋_GBK"/>
          <w:sz w:val="32"/>
          <w:szCs w:val="32"/>
        </w:rPr>
        <w:t>号</w:t>
      </w:r>
    </w:p>
    <w:p>
      <w:pPr>
        <w:spacing w:line="560" w:lineRule="exact"/>
        <w:jc w:val="center"/>
        <w:rPr>
          <w:rFonts w:hint="eastAsia" w:ascii="方正仿宋_GBK" w:hAnsi="方正仿宋_GBK" w:eastAsia="方正仿宋_GBK" w:cs="方正仿宋_GBK"/>
          <w:sz w:val="32"/>
          <w:szCs w:val="32"/>
        </w:rPr>
      </w:pP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为规范我区房屋征收补偿决定的相关程序，保障被征收人的合法权益，促进征收工作顺利进行，根据《国有土地上房屋征收与补偿条例》（国务院令第590号）、《</w:t>
      </w:r>
      <w:bookmarkStart w:id="0" w:name="OLE_LINK4"/>
      <w:r>
        <w:rPr>
          <w:rFonts w:hint="eastAsia" w:ascii="方正仿宋_GBK" w:hAnsi="方正仿宋_GBK" w:eastAsia="方正仿宋_GBK" w:cs="方正仿宋_GBK"/>
          <w:sz w:val="32"/>
          <w:szCs w:val="32"/>
        </w:rPr>
        <w:t>南京市国有土地上房屋征收与补偿办法</w:t>
      </w:r>
      <w:bookmarkEnd w:id="0"/>
      <w:r>
        <w:rPr>
          <w:rFonts w:hint="eastAsia" w:ascii="方正仿宋_GBK" w:hAnsi="方正仿宋_GBK" w:eastAsia="方正仿宋_GBK" w:cs="方正仿宋_GBK"/>
          <w:sz w:val="32"/>
          <w:szCs w:val="32"/>
        </w:rPr>
        <w:t>》（市政府令第318号）、《鼓楼区国有土地上房屋征收补偿补助奖励规定》（鼓政规〔2020〕2号）等规定，结合本区实际情况，制定本实施细则。</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区房屋征收实施单位与被征收人在征收补偿方案确定的签约期限内达不成征收补偿协议，或者被征收房屋所有权人不明确的，区房屋征收实施单位将有关书面材料提交区房屋征收部门，报请区政府作出征收补偿决定。</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区房屋征收实施单位在征收补偿方案确定的签约期限届满后，未将有关书面材料提交区房屋征收部门报请区政府作出征收补偿决定的，被征收人可依法要求区房屋征收部门履行征收补偿职责。</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国有土地上房屋的被征收人，是指被征收房屋所有权人、直管公房（含自管公房）承租人；撤组剩余国有土地上房屋的被征收人，是指被征收土地使用权人、被征收房屋所有权人。</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rPr>
        <w:t>　区房屋征收部门应督促指导征收实施单位与被征收人进行三次以上（含三次）的征收商谈，被征收人经通知后拒绝商谈或未到场的，视为完成当次征收商谈。</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报请区政府作出征收补偿决定的，需要提交以下书面材料：</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（一）申请书：需载明被征收人的基本信息、事实与理由、拟补偿安置方案等内容，补偿方式为产权调换的，需一并提供房源信息（位置、户型和面积）。</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权属材料：征收国有土地上房屋，需提交被征收房屋权属材料、或公有房屋租赁材料、或经认定可参照合法产权房屋予以补偿的材料，被征收房屋评估报告及送达材料；征收撤组剩余国有土地上房屋，需提交被征收土地权属材料、或被征收房屋权属材料、或经认定可参照合法产权房屋予以补偿的材料，被征收房屋评估报告及送达材料。</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（三）商谈材料：商谈记录，若被征收人拒绝在商谈记录签名的，应由2名见证人（非征收工作人员）签名确认；若被征收人经通知后拒绝商谈或未到场的，应提交商谈通知书及送达材料</w:t>
      </w:r>
      <w:r>
        <w:rPr>
          <w:rFonts w:hint="eastAsia" w:ascii="方正仿宋_GBK" w:hAnsi="方正仿宋_GBK" w:eastAsia="方正仿宋_GBK" w:cs="方正仿宋_GBK"/>
          <w:sz w:val="32"/>
          <w:szCs w:val="32"/>
          <w:lang w:eastAsia="zh-CN"/>
        </w:rPr>
        <w:t>（包括</w:t>
      </w:r>
      <w:r>
        <w:rPr>
          <w:rFonts w:hint="eastAsia" w:ascii="方正仿宋_GBK" w:hAnsi="方正仿宋_GBK" w:eastAsia="方正仿宋_GBK" w:cs="方正仿宋_GBK"/>
          <w:sz w:val="32"/>
          <w:szCs w:val="32"/>
        </w:rPr>
        <w:t>门口张贴拍照、手机短信记录</w:t>
      </w:r>
      <w:r>
        <w:rPr>
          <w:rFonts w:hint="eastAsia" w:ascii="方正仿宋_GBK" w:hAnsi="方正仿宋_GBK" w:eastAsia="方正仿宋_GBK" w:cs="方正仿宋_GBK"/>
          <w:sz w:val="32"/>
          <w:szCs w:val="32"/>
          <w:lang w:eastAsia="zh-CN"/>
        </w:rPr>
        <w:t>、电话录音等佐证材料）</w:t>
      </w:r>
      <w:r>
        <w:rPr>
          <w:rFonts w:hint="eastAsia" w:ascii="方正仿宋_GBK" w:hAnsi="方正仿宋_GBK" w:eastAsia="方正仿宋_GBK" w:cs="方正仿宋_GBK"/>
          <w:sz w:val="32"/>
          <w:szCs w:val="32"/>
        </w:rPr>
        <w:t>。</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（四）其他材料：区政府认为应当提交的其他材料。</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rPr>
        <w:t>　收到申请材料后，区政府应当在5个工作日内进行审查，材料齐全的，予以受理。材料不齐全的，应一次性告知补正材料；收到补正材料且经审查符合受理条件的，予以受理。</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区政府应当自受理之日起30日内依据征收补偿方案作出征收补偿决定；情况复杂的，经区政府主要负责人批准，可以延长30日。</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rPr>
        <w:t>　征收补偿决定应当包括以下内容：</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（一）被征收房屋的基本情况；</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（二）补偿方式（需明确产权调换或货币补偿中的一种）；</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（三）补偿、补助金额；</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（四）用于产权调换房屋的地点和面积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直管公房承租人除外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（五）不少于十五日的搬迁期限；</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（六）行政复议和行政诉讼等救济权利事项。</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第八条</w:t>
      </w:r>
      <w:r>
        <w:rPr>
          <w:rFonts w:hint="eastAsia" w:ascii="方正仿宋_GBK" w:hAnsi="方正仿宋_GBK" w:eastAsia="方正仿宋_GBK" w:cs="方正仿宋_GBK"/>
          <w:sz w:val="32"/>
          <w:szCs w:val="32"/>
        </w:rPr>
        <w:t>　征收补偿决定作出后应当及时送达被征收人，相关工作参照</w:t>
      </w:r>
      <w:bookmarkStart w:id="1" w:name="OLE_LINK2"/>
      <w:bookmarkStart w:id="2" w:name="OLE_LINK1"/>
      <w:r>
        <w:rPr>
          <w:rFonts w:hint="eastAsia" w:ascii="方正仿宋_GBK" w:hAnsi="方正仿宋_GBK" w:eastAsia="方正仿宋_GBK" w:cs="方正仿宋_GBK"/>
          <w:sz w:val="32"/>
          <w:szCs w:val="32"/>
        </w:rPr>
        <w:t>《中华人民共和国</w:t>
      </w:r>
      <w:r>
        <w:rPr>
          <w:rFonts w:hint="eastAsia" w:ascii="方正仿宋_GBK" w:hAnsi="方正仿宋_GBK" w:eastAsia="方正仿宋_GBK" w:cs="方正仿宋_GBK"/>
          <w:color w:val="000000" w:themeColor="text1"/>
          <w:sz w:val="32"/>
          <w:szCs w:val="32"/>
          <w14:textFill>
            <w14:solidFill>
              <w14:schemeClr w14:val="tx1"/>
            </w14:solidFill>
          </w14:textFill>
        </w:rPr>
        <w:t>民事诉讼法</w:t>
      </w:r>
      <w:r>
        <w:rPr>
          <w:rFonts w:hint="eastAsia" w:ascii="方正仿宋_GBK" w:hAnsi="方正仿宋_GBK" w:eastAsia="方正仿宋_GBK" w:cs="方正仿宋_GBK"/>
          <w:sz w:val="32"/>
          <w:szCs w:val="32"/>
        </w:rPr>
        <w:t>》</w:t>
      </w:r>
      <w:bookmarkEnd w:id="1"/>
      <w:bookmarkEnd w:id="2"/>
      <w:r>
        <w:rPr>
          <w:rFonts w:hint="eastAsia" w:ascii="方正仿宋_GBK" w:hAnsi="方正仿宋_GBK" w:eastAsia="方正仿宋_GBK" w:cs="方正仿宋_GBK"/>
          <w:sz w:val="32"/>
          <w:szCs w:val="32"/>
        </w:rPr>
        <w:t>关于送达的有关规定、南京市《关于进一步规范国有土地上房屋征收补偿文书送达工作的指导意见》有关规定执行。</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征收补偿决定自送达被征收人之日起发生法律效力。</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第九条</w:t>
      </w:r>
      <w:r>
        <w:rPr>
          <w:rFonts w:hint="eastAsia" w:ascii="方正仿宋_GBK" w:hAnsi="方正仿宋_GBK" w:eastAsia="方正仿宋_GBK" w:cs="方正仿宋_GBK"/>
          <w:sz w:val="32"/>
          <w:szCs w:val="32"/>
        </w:rPr>
        <w:t xml:space="preserve">  被征收人在法定期限内不申请行政复议或者不提起行政诉讼，又不履行征收补偿决定的，区政府可以自期限届满之日起3个月内申请人民法院强制执行。</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区政府申请人民法院强制执行前，应当催告被征收人履行征收补偿决定确定的各项义务。催告书送达10日后被征收人仍未履行义务的，区政府可以向有管辖权的人民法院申请强制执行。</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第十条</w:t>
      </w:r>
      <w:r>
        <w:rPr>
          <w:rFonts w:hint="eastAsia" w:ascii="方正仿宋_GBK" w:hAnsi="方正仿宋_GBK" w:eastAsia="方正仿宋_GBK" w:cs="方正仿宋_GBK"/>
          <w:sz w:val="32"/>
          <w:szCs w:val="32"/>
        </w:rPr>
        <w:t xml:space="preserve">  我区房屋征收补偿决定原有规定与本实施细则不一致的，以本实施细则为准。</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第十一条</w:t>
      </w:r>
      <w:r>
        <w:rPr>
          <w:rFonts w:hint="eastAsia" w:ascii="方正仿宋_GBK" w:hAnsi="方正仿宋_GBK" w:eastAsia="方正仿宋_GBK" w:cs="方正仿宋_GBK"/>
          <w:sz w:val="32"/>
          <w:szCs w:val="32"/>
        </w:rPr>
        <w:t>　本实施细则由鼓楼区人民政府负责解释，具体解释工作由鼓楼区住房保障和房产局承担。</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本实施细则自2026年1月1日起施行，有效期至2030年12月31日。本实施细则在有效期内，如遇国家和省、市相关规定调整，按调整后的上级规定执行。</w:t>
      </w:r>
    </w:p>
    <w:sectPr>
      <w:footerReference r:id="rId3" w:type="default"/>
      <w:pgSz w:w="11906" w:h="16838"/>
      <w:pgMar w:top="1701" w:right="1531" w:bottom="187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127C1"/>
    <w:rsid w:val="00021398"/>
    <w:rsid w:val="001052E7"/>
    <w:rsid w:val="00110203"/>
    <w:rsid w:val="001D25CE"/>
    <w:rsid w:val="002028E1"/>
    <w:rsid w:val="00243319"/>
    <w:rsid w:val="002550B0"/>
    <w:rsid w:val="002A2EDC"/>
    <w:rsid w:val="00367C80"/>
    <w:rsid w:val="003C7436"/>
    <w:rsid w:val="00454D13"/>
    <w:rsid w:val="00463EAC"/>
    <w:rsid w:val="005B03A9"/>
    <w:rsid w:val="005F329B"/>
    <w:rsid w:val="005F3E6E"/>
    <w:rsid w:val="00611B56"/>
    <w:rsid w:val="00682420"/>
    <w:rsid w:val="00712EB4"/>
    <w:rsid w:val="00721083"/>
    <w:rsid w:val="0073292E"/>
    <w:rsid w:val="008458B2"/>
    <w:rsid w:val="008E663B"/>
    <w:rsid w:val="009F1BDD"/>
    <w:rsid w:val="00A40509"/>
    <w:rsid w:val="00A50512"/>
    <w:rsid w:val="00A84F5E"/>
    <w:rsid w:val="00A875C9"/>
    <w:rsid w:val="00AC4F08"/>
    <w:rsid w:val="00AF19A7"/>
    <w:rsid w:val="00C57F89"/>
    <w:rsid w:val="00D02051"/>
    <w:rsid w:val="00E3555A"/>
    <w:rsid w:val="00E42A28"/>
    <w:rsid w:val="00E47972"/>
    <w:rsid w:val="00E50D4F"/>
    <w:rsid w:val="00E75051"/>
    <w:rsid w:val="00EA1D37"/>
    <w:rsid w:val="0268343D"/>
    <w:rsid w:val="086120EB"/>
    <w:rsid w:val="08956D5A"/>
    <w:rsid w:val="0AE61D4D"/>
    <w:rsid w:val="122F52B5"/>
    <w:rsid w:val="12F7160E"/>
    <w:rsid w:val="1D6534F7"/>
    <w:rsid w:val="1FFD47ED"/>
    <w:rsid w:val="22FC5F64"/>
    <w:rsid w:val="241E61B7"/>
    <w:rsid w:val="28216810"/>
    <w:rsid w:val="2A946A02"/>
    <w:rsid w:val="306011A2"/>
    <w:rsid w:val="329857F5"/>
    <w:rsid w:val="33204E48"/>
    <w:rsid w:val="33BC2FF3"/>
    <w:rsid w:val="34935B5E"/>
    <w:rsid w:val="35A4657B"/>
    <w:rsid w:val="3A715288"/>
    <w:rsid w:val="3AA10B64"/>
    <w:rsid w:val="3F166511"/>
    <w:rsid w:val="41C558B1"/>
    <w:rsid w:val="481A6220"/>
    <w:rsid w:val="49096301"/>
    <w:rsid w:val="491127C1"/>
    <w:rsid w:val="4C491A60"/>
    <w:rsid w:val="4DA84C0D"/>
    <w:rsid w:val="530F4D51"/>
    <w:rsid w:val="60F3026C"/>
    <w:rsid w:val="6264226B"/>
    <w:rsid w:val="649A52CA"/>
    <w:rsid w:val="66360452"/>
    <w:rsid w:val="70F12268"/>
    <w:rsid w:val="7674594C"/>
    <w:rsid w:val="78013455"/>
    <w:rsid w:val="79D94F16"/>
    <w:rsid w:val="7BC71102"/>
    <w:rsid w:val="7CB66E09"/>
    <w:rsid w:val="7EE830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Office</Company>
  <Pages>4</Pages>
  <Words>1612</Words>
  <Characters>1635</Characters>
  <Lines>11</Lines>
  <Paragraphs>3</Paragraphs>
  <TotalTime>0</TotalTime>
  <ScaleCrop>false</ScaleCrop>
  <LinksUpToDate>false</LinksUpToDate>
  <CharactersWithSpaces>1649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2025-07-09T09:08:00Z</dcterms:created>
  <dc:creator>大道至简1425433098</dc:creator>
  <cp:lastModifiedBy>ＷＪ</cp:lastModifiedBy>
  <cp:lastPrinted>2025-08-29T00:53:00Z</cp:lastPrinted>
  <dcterms:modified xsi:type="dcterms:W3CDTF">2025-11-05T00:58:28Z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KSOTemplateDocerSaveRecord">
    <vt:lpwstr>eyJoZGlkIjoiNzM1ZjBiZjcwYjlhOGQyOTlkMDU4YmE3NmJjYThhMDQifQ==</vt:lpwstr>
  </property>
  <property fmtid="{D5CDD505-2E9C-101B-9397-08002B2CF9AE}" pid="4" name="ICV">
    <vt:lpwstr>7802C3D19DF043E795CB49E7BA337872_13</vt:lpwstr>
  </property>
</Properties>
</file>